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contextualSpacing/>
        <w:rPr>
          <w:rFonts w:asciiTheme="minorHAnsi" w:hAnsiTheme="minorHAnsi" w:cstheme="minorHAnsi"/>
          <w:b/>
          <w:color w:val="4C4C4C" w:themeColor="text1"/>
          <w14:textFill>
            <w14:solidFill>
              <w14:schemeClr w14:val="tx1"/>
            </w14:solidFill>
          </w14:textFill>
        </w:rPr>
      </w:pPr>
    </w:p>
    <w:p>
      <w:pPr>
        <w:tabs>
          <w:tab w:val="left" w:pos="12960"/>
        </w:tabs>
        <w:spacing w:line="216" w:lineRule="auto"/>
        <w:contextualSpacing/>
        <w:jc w:val="center"/>
        <w:rPr>
          <w:rFonts w:asciiTheme="minorHAnsi" w:hAnsiTheme="minorHAnsi" w:cstheme="minorHAnsi"/>
          <w:b/>
          <w:color w:val="4C4C4C" w:themeColor="text1"/>
          <w:sz w:val="32"/>
          <w:szCs w:val="32"/>
          <w14:textFill>
            <w14:solidFill>
              <w14:schemeClr w14:val="tx1"/>
            </w14:solidFill>
          </w14:textFill>
        </w:rPr>
      </w:pPr>
      <w:r>
        <w:rPr>
          <w:rFonts w:asciiTheme="minorHAnsi" w:hAnsiTheme="minorHAnsi" w:cstheme="minorHAnsi"/>
          <w:b/>
          <w:color w:val="4C4C4C" w:themeColor="text1"/>
          <w:sz w:val="32"/>
          <w:szCs w:val="32"/>
          <w14:textFill>
            <w14:solidFill>
              <w14:schemeClr w14:val="tx1"/>
            </w14:solidFill>
          </w14:textFill>
        </w:rPr>
        <w:t>OVERDRAFT COVERAGE OPTIONS:</w:t>
      </w:r>
    </w:p>
    <w:p>
      <w:pPr>
        <w:tabs>
          <w:tab w:val="left" w:pos="12960"/>
        </w:tabs>
        <w:spacing w:line="216" w:lineRule="auto"/>
        <w:contextualSpacing/>
        <w:jc w:val="center"/>
        <w:rPr>
          <w:rFonts w:asciiTheme="minorHAnsi" w:hAnsiTheme="minorHAnsi" w:cstheme="minorHAnsi"/>
          <w:b/>
          <w:color w:val="4C4C4C" w:themeColor="text1"/>
          <w:sz w:val="32"/>
          <w:szCs w:val="32"/>
          <w14:textFill>
            <w14:solidFill>
              <w14:schemeClr w14:val="tx1"/>
            </w14:solidFill>
          </w14:textFill>
        </w:rPr>
      </w:pPr>
      <w:r>
        <w:rPr>
          <w:rFonts w:asciiTheme="minorHAnsi" w:hAnsiTheme="minorHAnsi" w:cstheme="minorHAnsi"/>
          <w:b/>
          <w:color w:val="4C4C4C" w:themeColor="text1"/>
          <w:sz w:val="32"/>
          <w:szCs w:val="32"/>
          <w14:textFill>
            <w14:solidFill>
              <w14:schemeClr w14:val="tx1"/>
            </w14:solidFill>
          </w14:textFill>
        </w:rPr>
        <w:t>OVERDRAFT PROTECTION</w:t>
      </w:r>
      <w:r>
        <w:rPr>
          <w:rFonts w:asciiTheme="minorHAnsi" w:hAnsiTheme="minorHAnsi" w:cstheme="minorHAnsi"/>
          <w:b/>
          <w:caps/>
          <w:color w:val="4C4C4C" w:themeColor="text1"/>
          <w:sz w:val="32"/>
          <w:szCs w:val="32"/>
          <w14:textFill>
            <w14:solidFill>
              <w14:schemeClr w14:val="tx1"/>
            </w14:solidFill>
          </w14:textFill>
        </w:rPr>
        <w:t xml:space="preserve"> AND Overdraft Privilege </w:t>
      </w:r>
    </w:p>
    <w:p>
      <w:pPr>
        <w:tabs>
          <w:tab w:val="left" w:pos="12960"/>
        </w:tabs>
        <w:spacing w:line="216" w:lineRule="auto"/>
        <w:contextualSpacing/>
        <w:rPr>
          <w:rFonts w:asciiTheme="minorHAnsi" w:hAnsiTheme="minorHAnsi" w:cstheme="minorHAnsi"/>
          <w:b/>
          <w:color w:val="4C4C4C" w:themeColor="text1"/>
          <w:sz w:val="20"/>
          <w:szCs w:val="32"/>
          <w14:textFill>
            <w14:solidFill>
              <w14:schemeClr w14:val="tx1"/>
            </w14:solidFill>
          </w14:textFill>
        </w:rPr>
      </w:pPr>
    </w:p>
    <w:p>
      <w:pPr>
        <w:tabs>
          <w:tab w:val="left" w:pos="12960"/>
        </w:tabs>
        <w:spacing w:line="216" w:lineRule="auto"/>
        <w:contextualSpacing/>
        <w:jc w:val="both"/>
        <w:rPr>
          <w:rStyle w:val="11"/>
          <w:rFonts w:asciiTheme="minorHAnsi" w:hAnsiTheme="minorHAnsi" w:cstheme="minorHAnsi"/>
          <w:color w:val="4C4C4C" w:themeColor="text1"/>
          <w:sz w:val="20"/>
          <w:szCs w:val="20"/>
          <w14:textFill>
            <w14:solidFill>
              <w14:schemeClr w14:val="tx1"/>
            </w14:solidFill>
          </w14:textFill>
        </w:rPr>
      </w:pPr>
    </w:p>
    <w:p>
      <w:pPr>
        <w:tabs>
          <w:tab w:val="left" w:pos="12960"/>
        </w:tabs>
        <w:spacing w:line="216" w:lineRule="auto"/>
        <w:contextualSpacing/>
        <w:jc w:val="both"/>
        <w:rPr>
          <w:rStyle w:val="11"/>
          <w:rFonts w:asciiTheme="minorHAnsi" w:hAnsiTheme="minorHAnsi" w:cstheme="minorHAnsi"/>
          <w:color w:val="4C4C4C" w:themeColor="text1"/>
          <w:sz w:val="20"/>
          <w:szCs w:val="20"/>
          <w14:textFill>
            <w14:solidFill>
              <w14:schemeClr w14:val="tx1"/>
            </w14:solidFill>
          </w14:textFill>
        </w:rPr>
      </w:pPr>
      <w:r>
        <w:rPr>
          <w:rStyle w:val="11"/>
          <w:rFonts w:asciiTheme="minorHAnsi" w:hAnsiTheme="minorHAnsi" w:cstheme="minorHAnsi"/>
          <w:color w:val="4C4C4C" w:themeColor="text1"/>
          <w:sz w:val="20"/>
          <w:szCs w:val="20"/>
          <w14:textFill>
            <w14:solidFill>
              <w14:schemeClr w14:val="tx1"/>
            </w14:solidFill>
          </w14:textFill>
        </w:rPr>
        <w:t>Dear Customer,</w:t>
      </w:r>
    </w:p>
    <w:p>
      <w:pPr>
        <w:tabs>
          <w:tab w:val="left" w:pos="12960"/>
        </w:tabs>
        <w:spacing w:line="216" w:lineRule="auto"/>
        <w:contextualSpacing/>
        <w:jc w:val="both"/>
        <w:rPr>
          <w:rStyle w:val="11"/>
          <w:rFonts w:asciiTheme="minorHAnsi" w:hAnsiTheme="minorHAnsi" w:cstheme="minorHAnsi"/>
          <w:color w:val="4C4C4C" w:themeColor="text1"/>
          <w:sz w:val="20"/>
          <w:szCs w:val="20"/>
          <w14:textFill>
            <w14:solidFill>
              <w14:schemeClr w14:val="tx1"/>
            </w14:solidFill>
          </w14:textFill>
        </w:rPr>
      </w:pPr>
    </w:p>
    <w:p>
      <w:pPr>
        <w:tabs>
          <w:tab w:val="left" w:pos="12960"/>
        </w:tabs>
        <w:spacing w:line="216" w:lineRule="auto"/>
        <w:contextualSpacing/>
        <w:jc w:val="both"/>
        <w:rPr>
          <w:rStyle w:val="11"/>
          <w:rFonts w:asciiTheme="minorHAnsi" w:hAnsiTheme="minorHAnsi" w:cstheme="minorHAnsi"/>
          <w:b/>
          <w:color w:val="4C4C4C" w:themeColor="text1"/>
          <w:sz w:val="20"/>
          <w:szCs w:val="20"/>
          <w14:textFill>
            <w14:solidFill>
              <w14:schemeClr w14:val="tx1"/>
            </w14:solidFill>
          </w14:textFill>
        </w:rPr>
      </w:pPr>
      <w:r>
        <w:rPr>
          <w:rStyle w:val="11"/>
          <w:rFonts w:asciiTheme="minorHAnsi" w:hAnsiTheme="minorHAnsi" w:cstheme="minorHAnsi"/>
          <w:color w:val="4C4C4C" w:themeColor="text1"/>
          <w:sz w:val="20"/>
          <w:szCs w:val="20"/>
          <w14:textFill>
            <w14:solidFill>
              <w14:schemeClr w14:val="tx1"/>
            </w14:solidFill>
          </w14:textFill>
        </w:rPr>
        <w:t xml:space="preserve">Life happens! </w:t>
      </w:r>
      <w:r>
        <w:rPr>
          <w:rFonts w:asciiTheme="minorHAnsi" w:hAnsiTheme="minorHAnsi" w:cstheme="minorHAnsi"/>
          <w:color w:val="4C4C4C" w:themeColor="text1"/>
          <w:sz w:val="20"/>
          <w:szCs w:val="20"/>
          <w14:textFill>
            <w14:solidFill>
              <w14:schemeClr w14:val="tx1"/>
            </w14:solidFill>
          </w14:textFill>
        </w:rPr>
        <w:t>SENB Bank</w:t>
      </w:r>
      <w:r>
        <w:rPr>
          <w:rStyle w:val="11"/>
          <w:rFonts w:asciiTheme="minorHAnsi" w:hAnsiTheme="minorHAnsi" w:cstheme="minorHAnsi"/>
          <w:color w:val="4C4C4C" w:themeColor="text1"/>
          <w:sz w:val="20"/>
          <w:szCs w:val="20"/>
          <w14:textFill>
            <w14:solidFill>
              <w14:schemeClr w14:val="tx1"/>
            </w14:solidFill>
          </w14:textFill>
        </w:rPr>
        <w:t xml:space="preserve"> understands that unexpected overdrafts occur from time to time – Overdraft Coverage can help.</w:t>
      </w:r>
    </w:p>
    <w:p>
      <w:pPr>
        <w:spacing w:line="216" w:lineRule="auto"/>
        <w:contextualSpacing/>
        <w:jc w:val="both"/>
        <w:rPr>
          <w:rStyle w:val="11"/>
          <w:rFonts w:asciiTheme="minorHAnsi" w:hAnsiTheme="minorHAnsi" w:cstheme="minorHAnsi"/>
          <w:b/>
          <w:bCs/>
          <w:color w:val="4C4C4C" w:themeColor="text1"/>
          <w:sz w:val="20"/>
          <w:szCs w:val="20"/>
          <w14:textFill>
            <w14:solidFill>
              <w14:schemeClr w14:val="tx1"/>
            </w14:solidFill>
          </w14:textFill>
        </w:rPr>
      </w:pPr>
    </w:p>
    <w:p>
      <w:pPr>
        <w:spacing w:line="216" w:lineRule="auto"/>
        <w:contextualSpacing/>
        <w:jc w:val="both"/>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Overdraft Coverage Options</w:t>
      </w:r>
    </w:p>
    <w:p>
      <w:pPr>
        <w:spacing w:line="216" w:lineRule="auto"/>
        <w:ind w:hanging="1"/>
        <w:contextualSpacing/>
        <w:jc w:val="both"/>
        <w:rPr>
          <w:rFonts w:asciiTheme="minorHAnsi" w:hAnsiTheme="minorHAnsi" w:cstheme="minorHAnsi"/>
          <w:color w:val="4C4C4C" w:themeColor="text1"/>
          <w:sz w:val="20"/>
          <w:szCs w:val="20"/>
          <w14:textFill>
            <w14:solidFill>
              <w14:schemeClr w14:val="tx1"/>
            </w14:solidFill>
          </w14:textFill>
        </w:rPr>
      </w:pPr>
      <w:r>
        <w:rPr>
          <w:rFonts w:asciiTheme="minorHAnsi" w:hAnsiTheme="minorHAnsi" w:cstheme="minorHAnsi"/>
          <w:color w:val="4C4C4C" w:themeColor="text1"/>
          <w:sz w:val="20"/>
          <w:szCs w:val="20"/>
          <w14:textFill>
            <w14:solidFill>
              <w14:schemeClr w14:val="tx1"/>
            </w14:solidFill>
          </w14:textFill>
        </w:rPr>
        <w:t xml:space="preserve">The choice is yours. Consider these ways to cover overdrafts: </w:t>
      </w:r>
    </w:p>
    <w:p>
      <w:pPr>
        <w:spacing w:line="216" w:lineRule="auto"/>
        <w:ind w:hanging="1"/>
        <w:contextualSpacing/>
        <w:jc w:val="both"/>
        <w:rPr>
          <w:rFonts w:asciiTheme="minorHAnsi" w:hAnsiTheme="minorHAnsi" w:cstheme="minorHAnsi"/>
          <w:color w:val="4C4C4C" w:themeColor="text1"/>
          <w:sz w:val="20"/>
          <w:szCs w:val="20"/>
          <w14:textFill>
            <w14:solidFill>
              <w14:schemeClr w14:val="tx1"/>
            </w14:solidFill>
          </w14:textFill>
        </w:rPr>
      </w:pPr>
    </w:p>
    <w:tbl>
      <w:tblPr>
        <w:tblStyle w:val="8"/>
        <w:tblW w:w="9828" w:type="dxa"/>
        <w:jc w:val="center"/>
        <w:tblInd w:w="0" w:type="dxa"/>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
      <w:tblGrid>
        <w:gridCol w:w="4608"/>
        <w:gridCol w:w="5220"/>
      </w:tblGrid>
      <w:tr>
        <w:tblPrEx>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Ex>
        <w:trPr>
          <w:trHeight w:val="304" w:hRule="atLeast"/>
          <w:jc w:val="center"/>
        </w:trPr>
        <w:tc>
          <w:tcPr>
            <w:tcW w:w="4608" w:type="dxa"/>
            <w:tcBorders>
              <w:top w:val="single" w:color="auto" w:sz="8" w:space="0"/>
              <w:left w:val="single" w:color="auto" w:sz="8" w:space="0"/>
              <w:bottom w:val="single" w:color="auto" w:sz="12" w:space="0"/>
              <w:right w:val="single" w:color="auto" w:sz="8" w:space="0"/>
            </w:tcBorders>
            <w:vAlign w:val="center"/>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Service</w:t>
            </w:r>
          </w:p>
        </w:tc>
        <w:tc>
          <w:tcPr>
            <w:tcW w:w="5220" w:type="dxa"/>
            <w:tcBorders>
              <w:top w:val="single" w:color="auto" w:sz="8" w:space="0"/>
              <w:left w:val="single" w:color="auto" w:sz="8" w:space="0"/>
              <w:bottom w:val="single" w:color="auto" w:sz="12" w:space="0"/>
              <w:right w:val="single" w:color="auto" w:sz="8" w:space="0"/>
            </w:tcBorders>
            <w:vAlign w:val="center"/>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Cost</w:t>
            </w:r>
          </w:p>
        </w:tc>
      </w:tr>
      <w:tr>
        <w:tblPrEx>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Ex>
        <w:trPr>
          <w:jc w:val="center"/>
        </w:trPr>
        <w:tc>
          <w:tcPr>
            <w:tcW w:w="4608"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Overdraft Protection Link to Another Deposit Account you have at SENB Bank</w:t>
            </w:r>
            <w:r>
              <w:rPr>
                <w:rFonts w:asciiTheme="minorHAnsi" w:hAnsiTheme="minorHAnsi" w:cstheme="minorHAnsi"/>
                <w:color w:val="4C4C4C" w:themeColor="text1"/>
                <w:sz w:val="20"/>
                <w:szCs w:val="20"/>
                <w:vertAlign w:val="superscript"/>
                <w14:textFill>
                  <w14:solidFill>
                    <w14:schemeClr w14:val="tx1"/>
                  </w14:solidFill>
                </w14:textFill>
              </w:rPr>
              <w:t>1</w:t>
            </w:r>
          </w:p>
        </w:tc>
        <w:tc>
          <w:tcPr>
            <w:tcW w:w="5220"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$15 fee per transfer</w:t>
            </w:r>
          </w:p>
        </w:tc>
      </w:tr>
      <w:tr>
        <w:tblPrEx>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Ex>
        <w:trPr>
          <w:trHeight w:val="447" w:hRule="atLeast"/>
          <w:jc w:val="center"/>
        </w:trPr>
        <w:tc>
          <w:tcPr>
            <w:tcW w:w="4608"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Overdraft Protection Line of Credit</w:t>
            </w:r>
            <w:r>
              <w:rPr>
                <w:rFonts w:asciiTheme="minorHAnsi" w:hAnsiTheme="minorHAnsi" w:cstheme="minorHAnsi"/>
                <w:color w:val="4C4C4C" w:themeColor="text1"/>
                <w:sz w:val="20"/>
                <w:szCs w:val="20"/>
                <w:vertAlign w:val="superscript"/>
                <w14:textFill>
                  <w14:solidFill>
                    <w14:schemeClr w14:val="tx1"/>
                  </w14:solidFill>
                </w14:textFill>
              </w:rPr>
              <w:t>1, 2</w:t>
            </w:r>
          </w:p>
        </w:tc>
        <w:tc>
          <w:tcPr>
            <w:tcW w:w="5220"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Subject to interest</w:t>
            </w:r>
          </w:p>
        </w:tc>
      </w:tr>
      <w:tr>
        <w:tblPrEx>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Ex>
        <w:trPr>
          <w:trHeight w:val="465" w:hRule="atLeast"/>
          <w:jc w:val="center"/>
        </w:trPr>
        <w:tc>
          <w:tcPr>
            <w:tcW w:w="4608"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Overdraft Privilege</w:t>
            </w:r>
          </w:p>
        </w:tc>
        <w:tc>
          <w:tcPr>
            <w:tcW w:w="5220" w:type="dxa"/>
            <w:tcBorders>
              <w:top w:val="single" w:color="auto" w:sz="8" w:space="0"/>
              <w:left w:val="single" w:color="auto" w:sz="8" w:space="0"/>
              <w:bottom w:val="single" w:color="auto" w:sz="12" w:space="0"/>
              <w:right w:val="single" w:color="auto" w:sz="8" w:space="0"/>
            </w:tcBorders>
            <w:shd w:val="clear" w:color="auto" w:fill="auto"/>
            <w:vAlign w:val="center"/>
          </w:tcPr>
          <w:p>
            <w:pPr>
              <w:spacing w:line="216" w:lineRule="auto"/>
              <w:contextualSpacing/>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$34 Overdraft Fee per item. $34 fee assesses on every 7 calendar days overdrawn.</w:t>
            </w:r>
          </w:p>
        </w:tc>
      </w:tr>
    </w:tbl>
    <w:p>
      <w:pPr>
        <w:spacing w:line="216" w:lineRule="auto"/>
        <w:contextualSpacing/>
        <w:jc w:val="both"/>
        <w:rPr>
          <w:rFonts w:asciiTheme="minorHAnsi" w:hAnsiTheme="minorHAnsi" w:cstheme="minorHAnsi"/>
          <w:color w:val="4C4C4C" w:themeColor="text1"/>
          <w:sz w:val="18"/>
          <w:szCs w:val="20"/>
          <w:vertAlign w:val="superscript"/>
          <w14:textFill>
            <w14:solidFill>
              <w14:schemeClr w14:val="tx1"/>
            </w14:solidFill>
          </w14:textFill>
        </w:rPr>
      </w:pPr>
    </w:p>
    <w:p>
      <w:pPr>
        <w:spacing w:line="216" w:lineRule="auto"/>
        <w:contextualSpacing/>
        <w:jc w:val="both"/>
        <w:rPr>
          <w:rFonts w:asciiTheme="minorHAnsi" w:hAnsiTheme="minorHAnsi" w:cstheme="minorHAnsi"/>
          <w:bCs/>
          <w:color w:val="4C4C4C" w:themeColor="text1"/>
          <w:sz w:val="18"/>
          <w:szCs w:val="20"/>
          <w14:textFill>
            <w14:solidFill>
              <w14:schemeClr w14:val="tx1"/>
            </w14:solidFill>
          </w14:textFill>
        </w:rPr>
      </w:pPr>
      <w:r>
        <w:rPr>
          <w:rFonts w:asciiTheme="minorHAnsi" w:hAnsiTheme="minorHAnsi" w:cstheme="minorHAnsi"/>
          <w:color w:val="4C4C4C" w:themeColor="text1"/>
          <w:sz w:val="18"/>
          <w:szCs w:val="20"/>
          <w:vertAlign w:val="superscript"/>
          <w14:textFill>
            <w14:solidFill>
              <w14:schemeClr w14:val="tx1"/>
            </w14:solidFill>
          </w14:textFill>
        </w:rPr>
        <w:t>1</w:t>
      </w:r>
      <w:r>
        <w:rPr>
          <w:rFonts w:asciiTheme="minorHAnsi" w:hAnsiTheme="minorHAnsi" w:cstheme="minorHAnsi"/>
          <w:color w:val="4C4C4C" w:themeColor="text1"/>
          <w:sz w:val="18"/>
          <w:szCs w:val="20"/>
          <w14:textFill>
            <w14:solidFill>
              <w14:schemeClr w14:val="tx1"/>
            </w14:solidFill>
          </w14:textFill>
        </w:rPr>
        <w:t xml:space="preserve">Call us at 309-757-0700, email us at </w:t>
      </w:r>
      <w:r>
        <w:fldChar w:fldCharType="begin"/>
      </w:r>
      <w:r>
        <w:instrText xml:space="preserve"> HYPERLINK "mailto:custserv@senb.com" </w:instrText>
      </w:r>
      <w:r>
        <w:fldChar w:fldCharType="separate"/>
      </w:r>
      <w:r>
        <w:rPr>
          <w:rStyle w:val="6"/>
          <w:rFonts w:asciiTheme="minorHAnsi" w:hAnsiTheme="minorHAnsi" w:cstheme="minorHAnsi"/>
          <w:sz w:val="18"/>
          <w:szCs w:val="20"/>
        </w:rPr>
        <w:t>custserv@senb.com</w:t>
      </w:r>
      <w:r>
        <w:rPr>
          <w:rStyle w:val="6"/>
          <w:rFonts w:asciiTheme="minorHAnsi" w:hAnsiTheme="minorHAnsi" w:cstheme="minorHAnsi"/>
          <w:sz w:val="18"/>
          <w:szCs w:val="20"/>
        </w:rPr>
        <w:fldChar w:fldCharType="end"/>
      </w:r>
      <w:r>
        <w:rPr>
          <w:rFonts w:asciiTheme="minorHAnsi" w:hAnsiTheme="minorHAnsi" w:cstheme="minorHAnsi"/>
          <w:color w:val="4C4C4C" w:themeColor="text1"/>
          <w:sz w:val="18"/>
          <w:szCs w:val="20"/>
          <w14:textFill>
            <w14:solidFill>
              <w14:schemeClr w14:val="tx1"/>
            </w14:solidFill>
          </w14:textFill>
        </w:rPr>
        <w:t xml:space="preserve">, or come by a banking center to sign up or apply for these services; </w:t>
      </w:r>
      <w:r>
        <w:rPr>
          <w:rFonts w:asciiTheme="minorHAnsi" w:hAnsiTheme="minorHAnsi" w:cstheme="minorHAnsi"/>
          <w:bCs/>
          <w:color w:val="4C4C4C" w:themeColor="text1"/>
          <w:sz w:val="18"/>
          <w:szCs w:val="20"/>
          <w:vertAlign w:val="superscript"/>
          <w14:textFill>
            <w14:solidFill>
              <w14:schemeClr w14:val="tx1"/>
            </w14:solidFill>
          </w14:textFill>
        </w:rPr>
        <w:t>2</w:t>
      </w:r>
      <w:r>
        <w:rPr>
          <w:rFonts w:asciiTheme="minorHAnsi" w:hAnsiTheme="minorHAnsi" w:cstheme="minorHAnsi"/>
          <w:bCs/>
          <w:color w:val="4C4C4C" w:themeColor="text1"/>
          <w:sz w:val="18"/>
          <w:szCs w:val="20"/>
          <w14:textFill>
            <w14:solidFill>
              <w14:schemeClr w14:val="tx1"/>
            </w14:solidFill>
          </w14:textFill>
        </w:rPr>
        <w:t>subject to credit approval</w:t>
      </w:r>
      <w:r>
        <w:rPr>
          <w:rStyle w:val="7"/>
          <w:rFonts w:asciiTheme="minorHAnsi" w:hAnsiTheme="minorHAnsi" w:cstheme="minorHAnsi"/>
          <w:color w:val="4C4C4C" w:themeColor="text1"/>
          <w:sz w:val="18"/>
          <w:szCs w:val="20"/>
          <w14:textFill>
            <w14:solidFill>
              <w14:schemeClr w14:val="tx1"/>
            </w14:solidFill>
          </w14:textFill>
        </w:rPr>
        <w:t xml:space="preserve">. </w:t>
      </w:r>
    </w:p>
    <w:p>
      <w:pPr>
        <w:spacing w:line="216" w:lineRule="auto"/>
        <w:contextualSpacing/>
        <w:jc w:val="both"/>
        <w:rPr>
          <w:rFonts w:asciiTheme="minorHAnsi" w:hAnsiTheme="minorHAnsi" w:cstheme="minorHAnsi"/>
          <w:bCs/>
          <w:color w:val="4C4C4C" w:themeColor="text1"/>
          <w:sz w:val="20"/>
          <w:szCs w:val="20"/>
          <w14:textFill>
            <w14:solidFill>
              <w14:schemeClr w14:val="tx1"/>
            </w14:solidFill>
          </w14:textFill>
        </w:rPr>
      </w:pPr>
    </w:p>
    <w:p>
      <w:pPr>
        <w:spacing w:line="216" w:lineRule="auto"/>
        <w:contextualSpacing/>
        <w:jc w:val="both"/>
        <w:rPr>
          <w:rStyle w:val="7"/>
          <w:rFonts w:asciiTheme="minorHAnsi" w:hAnsiTheme="minorHAnsi" w:cstheme="minorHAnsi"/>
          <w:b w:val="0"/>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Overdraft Protection</w:t>
      </w:r>
      <w:r>
        <w:rPr>
          <w:rFonts w:asciiTheme="minorHAnsi" w:hAnsiTheme="minorHAnsi" w:cstheme="minorHAnsi"/>
          <w:color w:val="4C4C4C" w:themeColor="text1"/>
          <w:sz w:val="20"/>
          <w:szCs w:val="20"/>
          <w14:textFill>
            <w14:solidFill>
              <w14:schemeClr w14:val="tx1"/>
            </w14:solidFill>
          </w14:textFill>
        </w:rPr>
        <w:t xml:space="preserve"> services apply to all transactions and may help prevent overdrafts by automatically transferring funds to your checking account from another account or line of credit you may have at SENB Bank for a fee or finance charge. Please note that overdraft lines of credit are subject to credit approval.</w:t>
      </w:r>
    </w:p>
    <w:p>
      <w:pPr>
        <w:spacing w:line="216" w:lineRule="auto"/>
        <w:contextualSpacing/>
        <w:jc w:val="both"/>
        <w:rPr>
          <w:rStyle w:val="7"/>
          <w:rFonts w:asciiTheme="minorHAnsi" w:hAnsiTheme="minorHAnsi" w:cstheme="minorHAnsi"/>
          <w:b w:val="0"/>
          <w:color w:val="4C4C4C" w:themeColor="text1"/>
          <w:sz w:val="20"/>
          <w:szCs w:val="20"/>
          <w14:textFill>
            <w14:solidFill>
              <w14:schemeClr w14:val="tx1"/>
            </w14:solidFill>
          </w14:textFill>
        </w:rPr>
      </w:pPr>
    </w:p>
    <w:p>
      <w:pPr>
        <w:spacing w:line="216" w:lineRule="auto"/>
        <w:contextualSpacing/>
        <w:jc w:val="both"/>
        <w:rPr>
          <w:rFonts w:asciiTheme="minorHAnsi" w:hAnsiTheme="minorHAnsi" w:cstheme="minorHAnsi"/>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 xml:space="preserve">Overdraft Privilege </w:t>
      </w:r>
      <w:r>
        <w:rPr>
          <w:rFonts w:asciiTheme="minorHAnsi" w:hAnsiTheme="minorHAnsi" w:cstheme="minorHAnsi"/>
          <w:color w:val="4C4C4C" w:themeColor="text1"/>
          <w:sz w:val="20"/>
          <w:szCs w:val="20"/>
          <w14:textFill>
            <w14:solidFill>
              <w14:schemeClr w14:val="tx1"/>
            </w14:solidFill>
          </w14:textFill>
        </w:rPr>
        <w:t xml:space="preserve">allows you to overdraw your account up to the disclosed limit for a fee in order to pay a transaction. </w:t>
      </w:r>
      <w:r>
        <w:rPr>
          <w:rFonts w:asciiTheme="minorHAnsi" w:hAnsiTheme="minorHAnsi" w:cstheme="minorHAnsi"/>
          <w:bCs/>
          <w:color w:val="4C4C4C" w:themeColor="text1"/>
          <w:sz w:val="20"/>
          <w:szCs w:val="20"/>
          <w14:textFill>
            <w14:solidFill>
              <w14:schemeClr w14:val="tx1"/>
            </w14:solidFill>
          </w14:textFill>
        </w:rPr>
        <w:t xml:space="preserve">Even if you have overdraft protection, </w:t>
      </w:r>
      <w:r>
        <w:rPr>
          <w:rFonts w:asciiTheme="minorHAnsi" w:hAnsiTheme="minorHAnsi" w:cstheme="minorHAnsi"/>
          <w:color w:val="4C4C4C" w:themeColor="text1"/>
          <w:sz w:val="20"/>
          <w:szCs w:val="20"/>
          <w14:textFill>
            <w14:solidFill>
              <w14:schemeClr w14:val="tx1"/>
            </w14:solidFill>
          </w14:textFill>
        </w:rPr>
        <w:t>Overdraft Privilege</w:t>
      </w:r>
      <w:r>
        <w:rPr>
          <w:rFonts w:asciiTheme="minorHAnsi" w:hAnsiTheme="minorHAnsi" w:cstheme="minorHAnsi"/>
          <w:bCs/>
          <w:color w:val="4C4C4C" w:themeColor="text1"/>
          <w:sz w:val="20"/>
          <w:szCs w:val="20"/>
          <w14:textFill>
            <w14:solidFill>
              <w14:schemeClr w14:val="tx1"/>
            </w14:solidFill>
          </w14:textFill>
        </w:rPr>
        <w:t xml:space="preserve"> is still available as secondary coverage if the other protection source is exhausted.</w:t>
      </w:r>
      <w:r>
        <w:rPr>
          <w:rFonts w:asciiTheme="minorHAnsi" w:hAnsiTheme="minorHAnsi" w:cstheme="minorHAnsi"/>
          <w:color w:val="4C4C4C" w:themeColor="text1"/>
          <w:sz w:val="20"/>
          <w:szCs w:val="20"/>
          <w14:textFill>
            <w14:solidFill>
              <w14:schemeClr w14:val="tx1"/>
            </w14:solidFill>
          </w14:textFill>
        </w:rPr>
        <w:t xml:space="preserve"> Please review the </w:t>
      </w:r>
      <w:r>
        <w:rPr>
          <w:rFonts w:asciiTheme="minorHAnsi" w:hAnsiTheme="minorHAnsi" w:cstheme="minorHAnsi"/>
          <w:b/>
          <w:color w:val="4C4C4C" w:themeColor="text1"/>
          <w:sz w:val="20"/>
          <w:szCs w:val="20"/>
          <w14:textFill>
            <w14:solidFill>
              <w14:schemeClr w14:val="tx1"/>
            </w14:solidFill>
          </w14:textFill>
        </w:rPr>
        <w:t xml:space="preserve">“What Else You Should Know” </w:t>
      </w:r>
      <w:r>
        <w:rPr>
          <w:rFonts w:asciiTheme="minorHAnsi" w:hAnsiTheme="minorHAnsi" w:cstheme="minorHAnsi"/>
          <w:color w:val="4C4C4C" w:themeColor="text1"/>
          <w:sz w:val="20"/>
          <w:szCs w:val="20"/>
          <w14:textFill>
            <w14:solidFill>
              <w14:schemeClr w14:val="tx1"/>
            </w14:solidFill>
          </w14:textFill>
        </w:rPr>
        <w:t>section included with this letter for other important information.</w:t>
      </w:r>
    </w:p>
    <w:p>
      <w:pPr>
        <w:spacing w:line="216" w:lineRule="auto"/>
        <w:contextualSpacing/>
        <w:jc w:val="both"/>
        <w:rPr>
          <w:rFonts w:asciiTheme="minorHAnsi" w:hAnsiTheme="minorHAnsi" w:cstheme="minorHAnsi"/>
          <w:color w:val="4C4C4C" w:themeColor="text1"/>
          <w:sz w:val="20"/>
          <w:szCs w:val="20"/>
          <w14:textFill>
            <w14:solidFill>
              <w14:schemeClr w14:val="tx1"/>
            </w14:solidFill>
          </w14:textFill>
        </w:rPr>
      </w:pPr>
    </w:p>
    <w:tbl>
      <w:tblPr>
        <w:tblStyle w:val="8"/>
        <w:tblW w:w="10638" w:type="dxa"/>
        <w:jc w:val="center"/>
        <w:tblInd w:w="0" w:type="dxa"/>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
      <w:tblGrid>
        <w:gridCol w:w="3046"/>
        <w:gridCol w:w="1922"/>
        <w:gridCol w:w="2340"/>
        <w:gridCol w:w="3330"/>
      </w:tblGrid>
      <w:tr>
        <w:tblPrEx>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Ex>
        <w:trPr>
          <w:jc w:val="center"/>
        </w:trPr>
        <w:tc>
          <w:tcPr>
            <w:tcW w:w="3046" w:type="dxa"/>
            <w:tcBorders>
              <w:top w:val="single" w:color="auto" w:sz="8" w:space="0"/>
              <w:left w:val="single" w:color="auto" w:sz="8" w:space="0"/>
              <w:bottom w:val="single" w:color="auto" w:sz="12" w:space="0"/>
              <w:right w:val="single" w:color="auto" w:sz="8" w:space="0"/>
            </w:tcBorders>
            <w:vAlign w:val="center"/>
          </w:tcPr>
          <w:p>
            <w:pPr>
              <w:spacing w:line="216" w:lineRule="auto"/>
              <w:contextualSpacing/>
              <w:jc w:val="center"/>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Transactions Covered with Overdraft Privilege</w:t>
            </w:r>
          </w:p>
        </w:tc>
        <w:tc>
          <w:tcPr>
            <w:tcW w:w="1922" w:type="dxa"/>
            <w:tcBorders>
              <w:top w:val="single" w:color="auto" w:sz="8" w:space="0"/>
              <w:left w:val="single" w:color="auto" w:sz="8" w:space="0"/>
              <w:bottom w:val="single" w:color="auto" w:sz="12" w:space="0"/>
              <w:right w:val="single" w:color="auto" w:sz="8" w:space="0"/>
            </w:tcBorders>
            <w:vAlign w:val="center"/>
          </w:tcPr>
          <w:p>
            <w:pPr>
              <w:spacing w:line="216" w:lineRule="auto"/>
              <w:contextualSpacing/>
              <w:jc w:val="center"/>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 xml:space="preserve">Standard Coverage </w:t>
            </w:r>
            <w:r>
              <w:rPr>
                <w:rFonts w:asciiTheme="minorHAnsi" w:hAnsiTheme="minorHAnsi" w:cstheme="minorHAnsi"/>
                <w:b/>
                <w:bCs/>
                <w:color w:val="4C4C4C" w:themeColor="text1"/>
                <w:sz w:val="20"/>
                <w:szCs w:val="20"/>
                <w14:textFill>
                  <w14:solidFill>
                    <w14:schemeClr w14:val="tx1"/>
                  </w14:solidFill>
                </w14:textFill>
              </w:rPr>
              <w:br w:type="textWrapping"/>
            </w:r>
            <w:r>
              <w:rPr>
                <w:rFonts w:asciiTheme="minorHAnsi" w:hAnsiTheme="minorHAnsi" w:cstheme="minorHAnsi"/>
                <w:b/>
                <w:bCs/>
                <w:color w:val="4C4C4C" w:themeColor="text1"/>
                <w:sz w:val="20"/>
                <w:szCs w:val="20"/>
                <w14:textFill>
                  <w14:solidFill>
                    <w14:schemeClr w14:val="tx1"/>
                  </w14:solidFill>
                </w14:textFill>
              </w:rPr>
              <w:t>(No action required)</w:t>
            </w:r>
          </w:p>
        </w:tc>
        <w:tc>
          <w:tcPr>
            <w:tcW w:w="2340" w:type="dxa"/>
            <w:tcBorders>
              <w:top w:val="single" w:color="auto" w:sz="8" w:space="0"/>
              <w:left w:val="single" w:color="auto" w:sz="8" w:space="0"/>
              <w:bottom w:val="single" w:color="auto" w:sz="12" w:space="0"/>
              <w:right w:val="single" w:color="auto" w:sz="8" w:space="0"/>
            </w:tcBorders>
            <w:vAlign w:val="center"/>
          </w:tcPr>
          <w:p>
            <w:pPr>
              <w:spacing w:line="216" w:lineRule="auto"/>
              <w:contextualSpacing/>
              <w:jc w:val="center"/>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Extended Coverage</w:t>
            </w:r>
          </w:p>
          <w:p>
            <w:pPr>
              <w:spacing w:line="216" w:lineRule="auto"/>
              <w:contextualSpacing/>
              <w:jc w:val="center"/>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(Your consent required on consumer accounts) *</w:t>
            </w:r>
          </w:p>
        </w:tc>
        <w:tc>
          <w:tcPr>
            <w:tcW w:w="3330" w:type="dxa"/>
            <w:vMerge w:val="restart"/>
            <w:tcBorders>
              <w:top w:val="single" w:color="auto" w:sz="8" w:space="0"/>
              <w:left w:val="single" w:color="auto" w:sz="8" w:space="0"/>
              <w:right w:val="single" w:color="auto" w:sz="8" w:space="0"/>
            </w:tcBorders>
            <w:vAlign w:val="center"/>
          </w:tcPr>
          <w:p>
            <w:pPr>
              <w:spacing w:line="216" w:lineRule="auto"/>
              <w:contextualSpacing/>
              <w:jc w:val="both"/>
              <w:rPr>
                <w:rFonts w:asciiTheme="minorHAnsi" w:hAnsiTheme="minorHAnsi" w:cstheme="minorHAnsi"/>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If you would like to select Extended Coverage for future transactions</w:t>
            </w:r>
            <w:r>
              <w:rPr>
                <w:rFonts w:asciiTheme="minorHAnsi" w:hAnsiTheme="minorHAnsi" w:cstheme="minorHAnsi"/>
                <w:color w:val="4C4C4C" w:themeColor="text1"/>
                <w:sz w:val="20"/>
                <w:szCs w:val="20"/>
                <w14:textFill>
                  <w14:solidFill>
                    <w14:schemeClr w14:val="tx1"/>
                  </w14:solidFill>
                </w14:textFill>
              </w:rPr>
              <w:t>:</w:t>
            </w:r>
          </w:p>
          <w:p>
            <w:pPr>
              <w:pStyle w:val="10"/>
              <w:numPr>
                <w:ilvl w:val="0"/>
                <w:numId w:val="1"/>
              </w:numPr>
              <w:spacing w:line="216" w:lineRule="auto"/>
              <w:rPr>
                <w:rFonts w:asciiTheme="minorHAnsi" w:hAnsiTheme="minorHAnsi" w:cstheme="minorHAnsi"/>
                <w:color w:val="4C4C4C" w:themeColor="text1"/>
                <w:sz w:val="20"/>
                <w:szCs w:val="20"/>
                <w14:textFill>
                  <w14:solidFill>
                    <w14:schemeClr w14:val="tx1"/>
                  </w14:solidFill>
                </w14:textFill>
              </w:rPr>
            </w:pPr>
            <w:r>
              <w:rPr>
                <w:rFonts w:asciiTheme="minorHAnsi" w:hAnsiTheme="minorHAnsi" w:cstheme="minorHAnsi"/>
                <w:color w:val="4C4C4C" w:themeColor="text1"/>
                <w:sz w:val="20"/>
                <w:szCs w:val="20"/>
                <w14:textFill>
                  <w14:solidFill>
                    <w14:schemeClr w14:val="tx1"/>
                  </w14:solidFill>
                </w14:textFill>
              </w:rPr>
              <w:t>call us at 309-757-0700,</w:t>
            </w:r>
          </w:p>
          <w:p>
            <w:pPr>
              <w:pStyle w:val="10"/>
              <w:numPr>
                <w:ilvl w:val="0"/>
                <w:numId w:val="1"/>
              </w:numPr>
              <w:spacing w:line="216" w:lineRule="auto"/>
              <w:rPr>
                <w:rFonts w:asciiTheme="minorHAnsi" w:hAnsiTheme="minorHAnsi" w:cstheme="minorHAnsi"/>
                <w:color w:val="4C4C4C" w:themeColor="text1"/>
                <w:sz w:val="20"/>
                <w:szCs w:val="20"/>
                <w14:textFill>
                  <w14:solidFill>
                    <w14:schemeClr w14:val="tx1"/>
                  </w14:solidFill>
                </w14:textFill>
              </w:rPr>
            </w:pPr>
            <w:r>
              <w:rPr>
                <w:rFonts w:asciiTheme="minorHAnsi" w:hAnsiTheme="minorHAnsi" w:cstheme="minorHAnsi"/>
                <w:color w:val="4C4C4C" w:themeColor="text1"/>
                <w:sz w:val="20"/>
                <w:szCs w:val="20"/>
                <w14:textFill>
                  <w14:solidFill>
                    <w14:schemeClr w14:val="tx1"/>
                  </w14:solidFill>
                </w14:textFill>
              </w:rPr>
              <w:t>complete the online consent form found at www.senb.com,</w:t>
            </w:r>
          </w:p>
          <w:p>
            <w:pPr>
              <w:pStyle w:val="10"/>
              <w:numPr>
                <w:ilvl w:val="0"/>
                <w:numId w:val="1"/>
              </w:numPr>
              <w:spacing w:line="216" w:lineRule="auto"/>
              <w:rPr>
                <w:rFonts w:asciiTheme="minorHAnsi" w:hAnsiTheme="minorHAnsi" w:cstheme="minorHAnsi"/>
                <w:color w:val="4C4C4C" w:themeColor="text1"/>
                <w:sz w:val="20"/>
                <w:szCs w:val="20"/>
                <w14:textFill>
                  <w14:solidFill>
                    <w14:schemeClr w14:val="tx1"/>
                  </w14:solidFill>
                </w14:textFill>
              </w:rPr>
            </w:pPr>
            <w:r>
              <w:rPr>
                <w:rFonts w:asciiTheme="minorHAnsi" w:hAnsiTheme="minorHAnsi" w:cstheme="minorHAnsi"/>
                <w:color w:val="4C4C4C" w:themeColor="text1"/>
                <w:sz w:val="20"/>
                <w:szCs w:val="20"/>
                <w14:textFill>
                  <w14:solidFill>
                    <w14:schemeClr w14:val="tx1"/>
                  </w14:solidFill>
                </w14:textFill>
              </w:rPr>
              <w:t xml:space="preserve">visit any banking center, </w:t>
            </w:r>
          </w:p>
          <w:p>
            <w:pPr>
              <w:pStyle w:val="10"/>
              <w:numPr>
                <w:ilvl w:val="0"/>
                <w:numId w:val="1"/>
              </w:numPr>
              <w:spacing w:line="216" w:lineRule="auto"/>
              <w:rPr>
                <w:rFonts w:asciiTheme="minorHAnsi" w:hAnsiTheme="minorHAnsi" w:cstheme="minorHAnsi"/>
                <w:color w:val="4C4C4C" w:themeColor="text1"/>
                <w:sz w:val="20"/>
                <w:szCs w:val="20"/>
                <w14:textFill>
                  <w14:solidFill>
                    <w14:schemeClr w14:val="tx1"/>
                  </w14:solidFill>
                </w14:textFill>
              </w:rPr>
            </w:pPr>
            <w:r>
              <w:rPr>
                <w:rFonts w:asciiTheme="minorHAnsi" w:hAnsiTheme="minorHAnsi" w:cstheme="minorHAnsi"/>
                <w:color w:val="4C4C4C" w:themeColor="text1"/>
                <w:sz w:val="20"/>
                <w:szCs w:val="20"/>
                <w14:textFill>
                  <w14:solidFill>
                    <w14:schemeClr w14:val="tx1"/>
                  </w14:solidFill>
                </w14:textFill>
              </w:rPr>
              <w:t>complete a consent form and mail it to us at 3535 Avenue of the Cities, P.O. Box 1070, Moline, IL 61266-1070, or</w:t>
            </w:r>
          </w:p>
          <w:p>
            <w:pPr>
              <w:pStyle w:val="10"/>
              <w:numPr>
                <w:ilvl w:val="0"/>
                <w:numId w:val="1"/>
              </w:numPr>
              <w:spacing w:line="216" w:lineRule="auto"/>
              <w:rPr>
                <w:rFonts w:asciiTheme="minorHAnsi" w:hAnsiTheme="minorHAnsi" w:cstheme="minorHAnsi"/>
                <w:color w:val="4C4C4C" w:themeColor="text1"/>
                <w:sz w:val="20"/>
                <w:szCs w:val="20"/>
                <w14:textFill>
                  <w14:solidFill>
                    <w14:schemeClr w14:val="tx1"/>
                  </w14:solidFill>
                </w14:textFill>
              </w:rPr>
            </w:pPr>
            <w:r>
              <w:rPr>
                <w:rFonts w:asciiTheme="minorHAnsi" w:hAnsiTheme="minorHAnsi" w:cstheme="minorHAnsi"/>
                <w:color w:val="4C4C4C" w:themeColor="text1"/>
                <w:sz w:val="20"/>
                <w:szCs w:val="20"/>
                <w14:textFill>
                  <w14:solidFill>
                    <w14:schemeClr w14:val="tx1"/>
                  </w14:solidFill>
                </w14:textFill>
              </w:rPr>
              <w:t xml:space="preserve">email us at </w:t>
            </w:r>
            <w:r>
              <w:fldChar w:fldCharType="begin"/>
            </w:r>
            <w:r>
              <w:instrText xml:space="preserve"> HYPERLINK "mailto:custserv@senb.com" </w:instrText>
            </w:r>
            <w:r>
              <w:fldChar w:fldCharType="separate"/>
            </w:r>
            <w:r>
              <w:rPr>
                <w:rStyle w:val="6"/>
                <w:rFonts w:asciiTheme="minorHAnsi" w:hAnsiTheme="minorHAnsi" w:cstheme="minorHAnsi"/>
                <w:sz w:val="20"/>
                <w:szCs w:val="20"/>
              </w:rPr>
              <w:t>custserv@senb.com</w:t>
            </w:r>
            <w:r>
              <w:rPr>
                <w:rStyle w:val="6"/>
                <w:rFonts w:asciiTheme="minorHAnsi" w:hAnsiTheme="minorHAnsi" w:cstheme="minorHAnsi"/>
                <w:sz w:val="20"/>
                <w:szCs w:val="20"/>
              </w:rPr>
              <w:fldChar w:fldCharType="end"/>
            </w:r>
            <w:r>
              <w:rPr>
                <w:rFonts w:asciiTheme="minorHAnsi" w:hAnsiTheme="minorHAnsi" w:cstheme="minorHAnsi"/>
                <w:color w:val="4C4C4C" w:themeColor="text1"/>
                <w:sz w:val="20"/>
                <w:szCs w:val="20"/>
                <w14:textFill>
                  <w14:solidFill>
                    <w14:schemeClr w14:val="tx1"/>
                  </w14:solidFill>
                </w14:textFill>
              </w:rPr>
              <w:t xml:space="preserve"> </w:t>
            </w:r>
          </w:p>
        </w:tc>
      </w:tr>
      <w:tr>
        <w:tblPrEx>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Ex>
        <w:trPr>
          <w:jc w:val="center"/>
        </w:trPr>
        <w:tc>
          <w:tcPr>
            <w:tcW w:w="3046" w:type="dxa"/>
            <w:tcBorders>
              <w:top w:val="single" w:color="auto" w:sz="12" w:space="0"/>
              <w:left w:val="single" w:color="auto" w:sz="8" w:space="0"/>
              <w:bottom w:val="single" w:color="auto" w:sz="8" w:space="0"/>
              <w:right w:val="single" w:color="auto" w:sz="8" w:space="0"/>
            </w:tcBorders>
            <w:shd w:val="clear" w:color="auto" w:fill="auto"/>
          </w:tcPr>
          <w:p>
            <w:pPr>
              <w:tabs>
                <w:tab w:val="center" w:pos="1415"/>
              </w:tabs>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 xml:space="preserve">Checks </w:t>
            </w:r>
          </w:p>
        </w:tc>
        <w:tc>
          <w:tcPr>
            <w:tcW w:w="1922" w:type="dxa"/>
            <w:tcBorders>
              <w:top w:val="single" w:color="auto" w:sz="12"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X</w:t>
            </w:r>
          </w:p>
        </w:tc>
        <w:tc>
          <w:tcPr>
            <w:tcW w:w="2340" w:type="dxa"/>
            <w:tcBorders>
              <w:top w:val="single" w:color="auto" w:sz="12"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X</w:t>
            </w:r>
          </w:p>
        </w:tc>
        <w:tc>
          <w:tcPr>
            <w:tcW w:w="3330" w:type="dxa"/>
            <w:vMerge w:val="continue"/>
            <w:tcBorders>
              <w:left w:val="single" w:color="auto" w:sz="8" w:space="0"/>
              <w:right w:val="single" w:color="auto" w:sz="8" w:space="0"/>
            </w:tcBorders>
            <w:vAlign w:val="center"/>
          </w:tcPr>
          <w:p>
            <w:pPr>
              <w:spacing w:line="216" w:lineRule="auto"/>
              <w:contextualSpacing/>
              <w:jc w:val="both"/>
              <w:rPr>
                <w:rFonts w:asciiTheme="minorHAnsi" w:hAnsiTheme="minorHAnsi" w:cstheme="minorHAnsi"/>
                <w:color w:val="4C4C4C" w:themeColor="text1"/>
                <w:sz w:val="20"/>
                <w:szCs w:val="20"/>
                <w14:textFill>
                  <w14:solidFill>
                    <w14:schemeClr w14:val="tx1"/>
                  </w14:solidFill>
                </w14:textFill>
              </w:rPr>
            </w:pPr>
          </w:p>
        </w:tc>
      </w:tr>
      <w:tr>
        <w:tblPrEx>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Ex>
        <w:trPr>
          <w:jc w:val="center"/>
        </w:trPr>
        <w:tc>
          <w:tcPr>
            <w:tcW w:w="3046"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ACH - Automatic Debits</w:t>
            </w:r>
          </w:p>
        </w:tc>
        <w:tc>
          <w:tcPr>
            <w:tcW w:w="1922"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X</w:t>
            </w:r>
          </w:p>
        </w:tc>
        <w:tc>
          <w:tcPr>
            <w:tcW w:w="2340"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X</w:t>
            </w:r>
          </w:p>
        </w:tc>
        <w:tc>
          <w:tcPr>
            <w:tcW w:w="3330" w:type="dxa"/>
            <w:vMerge w:val="continue"/>
            <w:tcBorders>
              <w:left w:val="single" w:color="auto" w:sz="8" w:space="0"/>
              <w:right w:val="single" w:color="auto" w:sz="8" w:space="0"/>
            </w:tcBorders>
            <w:vAlign w:val="center"/>
          </w:tcPr>
          <w:p>
            <w:pPr>
              <w:spacing w:line="216" w:lineRule="auto"/>
              <w:contextualSpacing/>
              <w:jc w:val="both"/>
              <w:rPr>
                <w:rFonts w:asciiTheme="minorHAnsi" w:hAnsiTheme="minorHAnsi" w:cstheme="minorHAnsi"/>
                <w:color w:val="4C4C4C" w:themeColor="text1"/>
                <w:sz w:val="20"/>
                <w:szCs w:val="20"/>
                <w14:textFill>
                  <w14:solidFill>
                    <w14:schemeClr w14:val="tx1"/>
                  </w14:solidFill>
                </w14:textFill>
              </w:rPr>
            </w:pPr>
          </w:p>
        </w:tc>
      </w:tr>
      <w:tr>
        <w:tblPrEx>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Ex>
        <w:trPr>
          <w:jc w:val="center"/>
        </w:trPr>
        <w:tc>
          <w:tcPr>
            <w:tcW w:w="3046"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Recurring Debit Card Payments</w:t>
            </w:r>
          </w:p>
        </w:tc>
        <w:tc>
          <w:tcPr>
            <w:tcW w:w="1922"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X</w:t>
            </w:r>
          </w:p>
        </w:tc>
        <w:tc>
          <w:tcPr>
            <w:tcW w:w="2340"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X</w:t>
            </w:r>
          </w:p>
        </w:tc>
        <w:tc>
          <w:tcPr>
            <w:tcW w:w="3330" w:type="dxa"/>
            <w:vMerge w:val="continue"/>
            <w:tcBorders>
              <w:left w:val="single" w:color="auto" w:sz="8" w:space="0"/>
              <w:right w:val="single" w:color="auto" w:sz="8" w:space="0"/>
            </w:tcBorders>
            <w:vAlign w:val="center"/>
          </w:tcPr>
          <w:p>
            <w:pPr>
              <w:spacing w:line="216" w:lineRule="auto"/>
              <w:contextualSpacing/>
              <w:jc w:val="both"/>
              <w:rPr>
                <w:rFonts w:asciiTheme="minorHAnsi" w:hAnsiTheme="minorHAnsi" w:cstheme="minorHAnsi"/>
                <w:color w:val="4C4C4C" w:themeColor="text1"/>
                <w:sz w:val="20"/>
                <w:szCs w:val="20"/>
                <w14:textFill>
                  <w14:solidFill>
                    <w14:schemeClr w14:val="tx1"/>
                  </w14:solidFill>
                </w14:textFill>
              </w:rPr>
            </w:pPr>
          </w:p>
        </w:tc>
      </w:tr>
      <w:tr>
        <w:tblPrEx>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Ex>
        <w:trPr>
          <w:jc w:val="center"/>
        </w:trPr>
        <w:tc>
          <w:tcPr>
            <w:tcW w:w="3046"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Online Bill Pay Items</w:t>
            </w:r>
          </w:p>
        </w:tc>
        <w:tc>
          <w:tcPr>
            <w:tcW w:w="1922"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X</w:t>
            </w:r>
          </w:p>
        </w:tc>
        <w:tc>
          <w:tcPr>
            <w:tcW w:w="2340"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X</w:t>
            </w:r>
          </w:p>
        </w:tc>
        <w:tc>
          <w:tcPr>
            <w:tcW w:w="3330" w:type="dxa"/>
            <w:vMerge w:val="continue"/>
            <w:tcBorders>
              <w:left w:val="single" w:color="auto" w:sz="8" w:space="0"/>
              <w:right w:val="single" w:color="auto" w:sz="8" w:space="0"/>
            </w:tcBorders>
            <w:vAlign w:val="center"/>
          </w:tcPr>
          <w:p>
            <w:pPr>
              <w:spacing w:line="216" w:lineRule="auto"/>
              <w:contextualSpacing/>
              <w:jc w:val="both"/>
              <w:rPr>
                <w:rFonts w:asciiTheme="minorHAnsi" w:hAnsiTheme="minorHAnsi" w:cstheme="minorHAnsi"/>
                <w:color w:val="4C4C4C" w:themeColor="text1"/>
                <w:sz w:val="20"/>
                <w:szCs w:val="20"/>
                <w14:textFill>
                  <w14:solidFill>
                    <w14:schemeClr w14:val="tx1"/>
                  </w14:solidFill>
                </w14:textFill>
              </w:rPr>
            </w:pPr>
          </w:p>
        </w:tc>
      </w:tr>
      <w:tr>
        <w:tblPrEx>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Ex>
        <w:trPr>
          <w:jc w:val="center"/>
        </w:trPr>
        <w:tc>
          <w:tcPr>
            <w:tcW w:w="3046"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Internet Banking Transfers</w:t>
            </w:r>
          </w:p>
        </w:tc>
        <w:tc>
          <w:tcPr>
            <w:tcW w:w="1922"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X</w:t>
            </w:r>
          </w:p>
        </w:tc>
        <w:tc>
          <w:tcPr>
            <w:tcW w:w="2340"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X</w:t>
            </w:r>
          </w:p>
        </w:tc>
        <w:tc>
          <w:tcPr>
            <w:tcW w:w="3330" w:type="dxa"/>
            <w:vMerge w:val="continue"/>
            <w:tcBorders>
              <w:left w:val="single" w:color="auto" w:sz="8" w:space="0"/>
              <w:right w:val="single" w:color="auto" w:sz="8" w:space="0"/>
            </w:tcBorders>
            <w:vAlign w:val="center"/>
          </w:tcPr>
          <w:p>
            <w:pPr>
              <w:spacing w:line="216" w:lineRule="auto"/>
              <w:contextualSpacing/>
              <w:jc w:val="both"/>
              <w:rPr>
                <w:rFonts w:asciiTheme="minorHAnsi" w:hAnsiTheme="minorHAnsi" w:cstheme="minorHAnsi"/>
                <w:color w:val="4C4C4C" w:themeColor="text1"/>
                <w:sz w:val="20"/>
                <w:szCs w:val="20"/>
                <w14:textFill>
                  <w14:solidFill>
                    <w14:schemeClr w14:val="tx1"/>
                  </w14:solidFill>
                </w14:textFill>
              </w:rPr>
            </w:pPr>
          </w:p>
        </w:tc>
      </w:tr>
      <w:tr>
        <w:tblPrEx>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Ex>
        <w:trPr>
          <w:jc w:val="center"/>
        </w:trPr>
        <w:tc>
          <w:tcPr>
            <w:tcW w:w="3046"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Telephone Banking</w:t>
            </w:r>
          </w:p>
        </w:tc>
        <w:tc>
          <w:tcPr>
            <w:tcW w:w="1922"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X</w:t>
            </w:r>
          </w:p>
        </w:tc>
        <w:tc>
          <w:tcPr>
            <w:tcW w:w="2340"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X</w:t>
            </w:r>
          </w:p>
        </w:tc>
        <w:tc>
          <w:tcPr>
            <w:tcW w:w="3330" w:type="dxa"/>
            <w:vMerge w:val="continue"/>
            <w:tcBorders>
              <w:left w:val="single" w:color="auto" w:sz="8" w:space="0"/>
              <w:right w:val="single" w:color="auto" w:sz="8" w:space="0"/>
            </w:tcBorders>
            <w:vAlign w:val="center"/>
          </w:tcPr>
          <w:p>
            <w:pPr>
              <w:spacing w:line="216" w:lineRule="auto"/>
              <w:contextualSpacing/>
              <w:jc w:val="both"/>
              <w:rPr>
                <w:rFonts w:asciiTheme="minorHAnsi" w:hAnsiTheme="minorHAnsi" w:cstheme="minorHAnsi"/>
                <w:color w:val="4C4C4C" w:themeColor="text1"/>
                <w:sz w:val="20"/>
                <w:szCs w:val="20"/>
                <w14:textFill>
                  <w14:solidFill>
                    <w14:schemeClr w14:val="tx1"/>
                  </w14:solidFill>
                </w14:textFill>
              </w:rPr>
            </w:pPr>
          </w:p>
        </w:tc>
      </w:tr>
      <w:tr>
        <w:tblPrEx>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Ex>
        <w:trPr>
          <w:jc w:val="center"/>
        </w:trPr>
        <w:tc>
          <w:tcPr>
            <w:tcW w:w="3046"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Teller Window Transactions</w:t>
            </w:r>
          </w:p>
        </w:tc>
        <w:tc>
          <w:tcPr>
            <w:tcW w:w="1922"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X</w:t>
            </w:r>
          </w:p>
        </w:tc>
        <w:tc>
          <w:tcPr>
            <w:tcW w:w="2340"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X</w:t>
            </w:r>
          </w:p>
        </w:tc>
        <w:tc>
          <w:tcPr>
            <w:tcW w:w="3330" w:type="dxa"/>
            <w:vMerge w:val="continue"/>
            <w:tcBorders>
              <w:left w:val="single" w:color="auto" w:sz="8" w:space="0"/>
              <w:right w:val="single" w:color="auto" w:sz="8" w:space="0"/>
            </w:tcBorders>
            <w:vAlign w:val="center"/>
          </w:tcPr>
          <w:p>
            <w:pPr>
              <w:spacing w:line="216" w:lineRule="auto"/>
              <w:contextualSpacing/>
              <w:jc w:val="both"/>
              <w:rPr>
                <w:rFonts w:asciiTheme="minorHAnsi" w:hAnsiTheme="minorHAnsi" w:cstheme="minorHAnsi"/>
                <w:color w:val="4C4C4C" w:themeColor="text1"/>
                <w:sz w:val="20"/>
                <w:szCs w:val="20"/>
                <w14:textFill>
                  <w14:solidFill>
                    <w14:schemeClr w14:val="tx1"/>
                  </w14:solidFill>
                </w14:textFill>
              </w:rPr>
            </w:pPr>
          </w:p>
        </w:tc>
      </w:tr>
      <w:tr>
        <w:tblPrEx>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Ex>
        <w:trPr>
          <w:jc w:val="center"/>
        </w:trPr>
        <w:tc>
          <w:tcPr>
            <w:tcW w:w="3046"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ATM Withdrawals</w:t>
            </w:r>
          </w:p>
        </w:tc>
        <w:tc>
          <w:tcPr>
            <w:tcW w:w="1922"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p>
        </w:tc>
        <w:tc>
          <w:tcPr>
            <w:tcW w:w="2340"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 xml:space="preserve">  X*</w:t>
            </w:r>
          </w:p>
        </w:tc>
        <w:tc>
          <w:tcPr>
            <w:tcW w:w="3330" w:type="dxa"/>
            <w:vMerge w:val="continue"/>
            <w:tcBorders>
              <w:left w:val="single" w:color="auto" w:sz="8" w:space="0"/>
              <w:right w:val="single" w:color="auto" w:sz="8" w:space="0"/>
            </w:tcBorders>
            <w:vAlign w:val="center"/>
          </w:tcPr>
          <w:p>
            <w:pPr>
              <w:spacing w:line="216" w:lineRule="auto"/>
              <w:contextualSpacing/>
              <w:jc w:val="both"/>
              <w:rPr>
                <w:rFonts w:asciiTheme="minorHAnsi" w:hAnsiTheme="minorHAnsi" w:cstheme="minorHAnsi"/>
                <w:color w:val="4C4C4C" w:themeColor="text1"/>
                <w:sz w:val="20"/>
                <w:szCs w:val="20"/>
                <w14:textFill>
                  <w14:solidFill>
                    <w14:schemeClr w14:val="tx1"/>
                  </w14:solidFill>
                </w14:textFill>
              </w:rPr>
            </w:pPr>
          </w:p>
        </w:tc>
      </w:tr>
      <w:tr>
        <w:tblPrEx>
          <w:tblBorders>
            <w:top w:val="single" w:color="5B9BD5" w:sz="8" w:space="0"/>
            <w:left w:val="single" w:color="5B9BD5" w:sz="8" w:space="0"/>
            <w:bottom w:val="single" w:color="5B9BD5" w:sz="8" w:space="0"/>
            <w:right w:val="single" w:color="5B9BD5" w:sz="8" w:space="0"/>
            <w:insideH w:val="single" w:color="5B9BD5" w:sz="8" w:space="0"/>
            <w:insideV w:val="single" w:color="5B9BD5" w:sz="8" w:space="0"/>
          </w:tblBorders>
          <w:tblLayout w:type="fixed"/>
          <w:tblCellMar>
            <w:top w:w="0" w:type="dxa"/>
            <w:left w:w="108" w:type="dxa"/>
            <w:bottom w:w="0" w:type="dxa"/>
            <w:right w:w="108" w:type="dxa"/>
          </w:tblCellMar>
        </w:tblPrEx>
        <w:trPr>
          <w:jc w:val="center"/>
        </w:trPr>
        <w:tc>
          <w:tcPr>
            <w:tcW w:w="3046"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both"/>
              <w:rPr>
                <w:rFonts w:asciiTheme="minorHAnsi" w:hAnsiTheme="minorHAnsi" w:cstheme="minorHAnsi"/>
                <w:b/>
                <w:bCs/>
                <w:color w:val="4C4C4C" w:themeColor="text1"/>
                <w:sz w:val="20"/>
                <w:szCs w:val="20"/>
                <w14:textFill>
                  <w14:solidFill>
                    <w14:schemeClr w14:val="tx1"/>
                  </w14:solidFill>
                </w14:textFill>
              </w:rPr>
            </w:pPr>
            <w:r>
              <w:rPr>
                <w:rFonts w:asciiTheme="minorHAnsi" w:hAnsiTheme="minorHAnsi" w:cstheme="minorHAnsi"/>
                <w:b/>
                <w:bCs/>
                <w:color w:val="4C4C4C" w:themeColor="text1"/>
                <w:sz w:val="20"/>
                <w:szCs w:val="20"/>
                <w14:textFill>
                  <w14:solidFill>
                    <w14:schemeClr w14:val="tx1"/>
                  </w14:solidFill>
                </w14:textFill>
              </w:rPr>
              <w:t>Everyday Debit Card Transactions</w:t>
            </w:r>
          </w:p>
        </w:tc>
        <w:tc>
          <w:tcPr>
            <w:tcW w:w="1922"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p>
        </w:tc>
        <w:tc>
          <w:tcPr>
            <w:tcW w:w="2340" w:type="dxa"/>
            <w:tcBorders>
              <w:top w:val="single" w:color="auto" w:sz="8" w:space="0"/>
              <w:left w:val="single" w:color="auto" w:sz="8" w:space="0"/>
              <w:bottom w:val="single" w:color="auto" w:sz="8" w:space="0"/>
              <w:right w:val="single" w:color="auto" w:sz="8" w:space="0"/>
            </w:tcBorders>
            <w:shd w:val="clear" w:color="auto" w:fill="auto"/>
          </w:tcPr>
          <w:p>
            <w:pPr>
              <w:spacing w:line="216" w:lineRule="auto"/>
              <w:contextualSpacing/>
              <w:jc w:val="center"/>
              <w:rPr>
                <w:rFonts w:asciiTheme="minorHAnsi" w:hAnsiTheme="minorHAnsi" w:cstheme="minorHAnsi"/>
                <w:b/>
                <w:color w:val="4C4C4C" w:themeColor="text1"/>
                <w:sz w:val="20"/>
                <w:szCs w:val="20"/>
                <w14:textFill>
                  <w14:solidFill>
                    <w14:schemeClr w14:val="tx1"/>
                  </w14:solidFill>
                </w14:textFill>
              </w:rPr>
            </w:pPr>
            <w:r>
              <w:rPr>
                <w:rFonts w:asciiTheme="minorHAnsi" w:hAnsiTheme="minorHAnsi" w:cstheme="minorHAnsi"/>
                <w:b/>
                <w:color w:val="4C4C4C" w:themeColor="text1"/>
                <w:sz w:val="20"/>
                <w:szCs w:val="20"/>
                <w14:textFill>
                  <w14:solidFill>
                    <w14:schemeClr w14:val="tx1"/>
                  </w14:solidFill>
                </w14:textFill>
              </w:rPr>
              <w:t xml:space="preserve">  X*</w:t>
            </w:r>
          </w:p>
        </w:tc>
        <w:tc>
          <w:tcPr>
            <w:tcW w:w="3330" w:type="dxa"/>
            <w:vMerge w:val="continue"/>
            <w:tcBorders>
              <w:left w:val="single" w:color="auto" w:sz="8" w:space="0"/>
              <w:bottom w:val="single" w:color="auto" w:sz="8" w:space="0"/>
              <w:right w:val="single" w:color="auto" w:sz="8" w:space="0"/>
            </w:tcBorders>
            <w:vAlign w:val="center"/>
          </w:tcPr>
          <w:p>
            <w:pPr>
              <w:spacing w:line="216" w:lineRule="auto"/>
              <w:contextualSpacing/>
              <w:jc w:val="both"/>
              <w:rPr>
                <w:rFonts w:asciiTheme="minorHAnsi" w:hAnsiTheme="minorHAnsi" w:cstheme="minorHAnsi"/>
                <w:color w:val="4C4C4C" w:themeColor="text1"/>
                <w:sz w:val="20"/>
                <w:szCs w:val="20"/>
                <w14:textFill>
                  <w14:solidFill>
                    <w14:schemeClr w14:val="tx1"/>
                  </w14:solidFill>
                </w14:textFill>
              </w:rPr>
            </w:pPr>
          </w:p>
        </w:tc>
      </w:tr>
    </w:tbl>
    <w:p>
      <w:pPr>
        <w:spacing w:line="216" w:lineRule="auto"/>
        <w:ind w:right="206"/>
        <w:contextualSpacing/>
        <w:jc w:val="both"/>
        <w:rPr>
          <w:rFonts w:asciiTheme="minorHAnsi" w:hAnsiTheme="minorHAnsi" w:cstheme="minorHAnsi"/>
          <w:color w:val="4C4C4C" w:themeColor="text1"/>
          <w:sz w:val="18"/>
          <w:szCs w:val="20"/>
          <w14:textFill>
            <w14:solidFill>
              <w14:schemeClr w14:val="tx1"/>
            </w14:solidFill>
          </w14:textFill>
        </w:rPr>
      </w:pPr>
    </w:p>
    <w:p>
      <w:pPr>
        <w:spacing w:line="216" w:lineRule="auto"/>
        <w:ind w:right="206"/>
        <w:contextualSpacing/>
        <w:jc w:val="both"/>
        <w:rPr>
          <w:rFonts w:asciiTheme="minorHAnsi" w:hAnsiTheme="minorHAnsi" w:cstheme="minorHAnsi"/>
          <w:color w:val="4C4C4C" w:themeColor="text1"/>
          <w:sz w:val="20"/>
          <w:szCs w:val="20"/>
          <w14:textFill>
            <w14:solidFill>
              <w14:schemeClr w14:val="tx1"/>
            </w14:solidFill>
          </w14:textFill>
        </w:rPr>
      </w:pPr>
      <w:r>
        <w:rPr>
          <w:rFonts w:asciiTheme="minorHAnsi" w:hAnsiTheme="minorHAnsi" w:cstheme="minorHAnsi"/>
          <w:color w:val="4C4C4C" w:themeColor="text1"/>
          <w:sz w:val="18"/>
          <w:szCs w:val="20"/>
          <w14:textFill>
            <w14:solidFill>
              <w14:schemeClr w14:val="tx1"/>
            </w14:solidFill>
          </w14:textFill>
        </w:rPr>
        <w:t xml:space="preserve">*If you choose Extended Coverage, </w:t>
      </w:r>
      <w:r>
        <w:rPr>
          <w:rStyle w:val="7"/>
          <w:rFonts w:asciiTheme="minorHAnsi" w:hAnsiTheme="minorHAnsi" w:cstheme="minorHAnsi"/>
          <w:color w:val="4C4C4C" w:themeColor="text1"/>
          <w:sz w:val="18"/>
          <w:szCs w:val="20"/>
          <w14:textFill>
            <w14:solidFill>
              <w14:schemeClr w14:val="tx1"/>
            </w14:solidFill>
          </w14:textFill>
        </w:rPr>
        <w:t>ATM withdrawals and everyday debit card transactions</w:t>
      </w:r>
      <w:r>
        <w:rPr>
          <w:rFonts w:asciiTheme="minorHAnsi" w:hAnsiTheme="minorHAnsi" w:cstheme="minorHAnsi"/>
          <w:color w:val="4C4C4C" w:themeColor="text1"/>
          <w:sz w:val="18"/>
          <w:szCs w:val="20"/>
          <w14:textFill>
            <w14:solidFill>
              <w14:schemeClr w14:val="tx1"/>
            </w14:solidFill>
          </w14:textFill>
        </w:rPr>
        <w:t xml:space="preserve"> will be included with the transactions listed under Standard Coverage. </w:t>
      </w:r>
      <w:r>
        <w:rPr>
          <w:rFonts w:asciiTheme="minorHAnsi" w:hAnsiTheme="minorHAnsi" w:cstheme="minorHAnsi"/>
          <w:color w:val="4C4C4C" w:themeColor="text1"/>
          <w:sz w:val="20"/>
          <w:szCs w:val="20"/>
          <w14:textFill>
            <w14:solidFill>
              <w14:schemeClr w14:val="tx1"/>
            </w14:solidFill>
          </w14:textFill>
        </w:rPr>
        <w:t xml:space="preserve">You can discontinue the Overdraft Privilege in its entirety by contacting us at 309-757-0700 or sending us an email at </w:t>
      </w:r>
      <w:r>
        <w:fldChar w:fldCharType="begin"/>
      </w:r>
      <w:r>
        <w:instrText xml:space="preserve"> HYPERLINK "mailto:custserv@senb.com" </w:instrText>
      </w:r>
      <w:r>
        <w:fldChar w:fldCharType="separate"/>
      </w:r>
      <w:r>
        <w:rPr>
          <w:rStyle w:val="6"/>
          <w:rFonts w:asciiTheme="minorHAnsi" w:hAnsiTheme="minorHAnsi" w:cstheme="minorHAnsi"/>
          <w:sz w:val="20"/>
          <w:szCs w:val="20"/>
        </w:rPr>
        <w:t>custserv@senb.com</w:t>
      </w:r>
      <w:r>
        <w:rPr>
          <w:rStyle w:val="6"/>
          <w:rFonts w:asciiTheme="minorHAnsi" w:hAnsiTheme="minorHAnsi" w:cstheme="minorHAnsi"/>
          <w:sz w:val="20"/>
          <w:szCs w:val="20"/>
        </w:rPr>
        <w:fldChar w:fldCharType="end"/>
      </w:r>
      <w:r>
        <w:rPr>
          <w:rFonts w:asciiTheme="minorHAnsi" w:hAnsiTheme="minorHAnsi" w:cstheme="minorHAnsi"/>
          <w:color w:val="4C4C4C" w:themeColor="text1"/>
          <w:sz w:val="20"/>
          <w:szCs w:val="20"/>
          <w14:textFill>
            <w14:solidFill>
              <w14:schemeClr w14:val="tx1"/>
            </w14:solidFill>
          </w14:textFill>
        </w:rPr>
        <w:t>.</w:t>
      </w:r>
    </w:p>
    <w:p>
      <w:pPr>
        <w:spacing w:line="216" w:lineRule="auto"/>
        <w:contextualSpacing/>
        <w:jc w:val="both"/>
        <w:rPr>
          <w:rFonts w:asciiTheme="minorHAnsi" w:hAnsiTheme="minorHAnsi" w:cstheme="minorHAnsi"/>
          <w:color w:val="4C4C4C" w:themeColor="text1"/>
          <w:sz w:val="20"/>
          <w:szCs w:val="20"/>
          <w14:textFill>
            <w14:solidFill>
              <w14:schemeClr w14:val="tx1"/>
            </w14:solidFill>
          </w14:textFill>
        </w:rPr>
      </w:pPr>
    </w:p>
    <w:p>
      <w:pPr>
        <w:spacing w:line="216" w:lineRule="auto"/>
        <w:ind w:right="206"/>
        <w:contextualSpacing/>
        <w:jc w:val="both"/>
        <w:rPr>
          <w:rFonts w:asciiTheme="minorHAnsi" w:hAnsiTheme="minorHAnsi" w:cstheme="minorHAnsi"/>
          <w:color w:val="4C4C4C" w:themeColor="text1"/>
          <w:sz w:val="20"/>
          <w:szCs w:val="20"/>
          <w14:textFill>
            <w14:solidFill>
              <w14:schemeClr w14:val="tx1"/>
            </w14:solidFill>
          </w14:textFill>
        </w:rPr>
      </w:pPr>
      <w:r>
        <w:rPr>
          <w:rFonts w:asciiTheme="minorHAnsi" w:hAnsiTheme="minorHAnsi" w:cstheme="minorHAnsi"/>
          <w:color w:val="4C4C4C" w:themeColor="text1"/>
          <w:sz w:val="20"/>
          <w:szCs w:val="20"/>
          <w14:textFill>
            <w14:solidFill>
              <w14:schemeClr w14:val="tx1"/>
            </w14:solidFill>
          </w14:textFill>
        </w:rPr>
        <w:t xml:space="preserve">You can discontinue the Overdraft Privilege in its entirety by contacting us at 309-757-0700 or sending us an email at </w:t>
      </w:r>
      <w:r>
        <w:fldChar w:fldCharType="begin"/>
      </w:r>
      <w:r>
        <w:instrText xml:space="preserve"> HYPERLINK "mailto:custserv@senb.com" </w:instrText>
      </w:r>
      <w:r>
        <w:fldChar w:fldCharType="separate"/>
      </w:r>
      <w:r>
        <w:rPr>
          <w:rStyle w:val="6"/>
          <w:rFonts w:asciiTheme="minorHAnsi" w:hAnsiTheme="minorHAnsi" w:cstheme="minorHAnsi"/>
          <w:sz w:val="20"/>
          <w:szCs w:val="20"/>
        </w:rPr>
        <w:t>custserv@senb.com</w:t>
      </w:r>
      <w:r>
        <w:rPr>
          <w:rStyle w:val="6"/>
          <w:rFonts w:asciiTheme="minorHAnsi" w:hAnsiTheme="minorHAnsi" w:cstheme="minorHAnsi"/>
          <w:sz w:val="20"/>
          <w:szCs w:val="20"/>
        </w:rPr>
        <w:fldChar w:fldCharType="end"/>
      </w:r>
      <w:r>
        <w:rPr>
          <w:rFonts w:asciiTheme="minorHAnsi" w:hAnsiTheme="minorHAnsi" w:cstheme="minorHAnsi"/>
          <w:color w:val="4C4C4C" w:themeColor="text1"/>
          <w:sz w:val="20"/>
          <w:szCs w:val="20"/>
          <w14:textFill>
            <w14:solidFill>
              <w14:schemeClr w14:val="tx1"/>
            </w14:solidFill>
          </w14:textFill>
        </w:rPr>
        <w:t>.</w:t>
      </w:r>
    </w:p>
    <w:p>
      <w:pPr>
        <w:spacing w:line="216" w:lineRule="auto"/>
        <w:contextualSpacing/>
        <w:jc w:val="both"/>
        <w:rPr>
          <w:rStyle w:val="7"/>
          <w:rFonts w:asciiTheme="minorHAnsi" w:hAnsiTheme="minorHAnsi" w:cstheme="minorHAnsi"/>
          <w:color w:val="4C4C4C" w:themeColor="text1"/>
          <w:sz w:val="20"/>
          <w:szCs w:val="20"/>
          <w14:textFill>
            <w14:solidFill>
              <w14:schemeClr w14:val="tx1"/>
            </w14:solidFill>
          </w14:textFill>
        </w:rPr>
      </w:pPr>
    </w:p>
    <w:p>
      <w:pPr>
        <w:spacing w:line="216" w:lineRule="auto"/>
        <w:contextualSpacing/>
        <w:jc w:val="both"/>
        <w:rPr>
          <w:rStyle w:val="7"/>
          <w:rFonts w:asciiTheme="minorHAnsi" w:hAnsiTheme="minorHAnsi" w:cstheme="minorHAnsi"/>
          <w:color w:val="4C4C4C" w:themeColor="text1"/>
          <w:sz w:val="20"/>
          <w:szCs w:val="20"/>
          <w14:textFill>
            <w14:solidFill>
              <w14:schemeClr w14:val="tx1"/>
            </w14:solidFill>
          </w14:textFill>
        </w:rPr>
      </w:pPr>
    </w:p>
    <w:p>
      <w:pPr>
        <w:spacing w:before="4" w:line="274" w:lineRule="exact"/>
        <w:textAlignment w:val="baseline"/>
        <w:rPr>
          <w:rFonts w:eastAsia="Arial" w:asciiTheme="minorHAnsi" w:hAnsiTheme="minorHAnsi" w:cstheme="minorHAnsi"/>
          <w:b/>
          <w:color w:val="000000"/>
          <w:spacing w:val="-1"/>
          <w:sz w:val="20"/>
          <w:szCs w:val="20"/>
        </w:rPr>
      </w:pPr>
      <w:r>
        <w:rPr>
          <w:rFonts w:eastAsia="Arial" w:asciiTheme="minorHAnsi" w:hAnsiTheme="minorHAnsi" w:cstheme="minorHAnsi"/>
          <w:b/>
          <w:color w:val="000000"/>
          <w:spacing w:val="-1"/>
          <w:sz w:val="20"/>
          <w:szCs w:val="20"/>
        </w:rPr>
        <w:t>WHAT ELSE YOU SHOULD KNOW</w:t>
      </w:r>
    </w:p>
    <w:p>
      <w:pPr>
        <w:pStyle w:val="10"/>
        <w:numPr>
          <w:ilvl w:val="0"/>
          <w:numId w:val="2"/>
        </w:numPr>
        <w:spacing w:before="243" w:line="263" w:lineRule="exact"/>
        <w:ind w:right="144"/>
        <w:textAlignment w:val="baseline"/>
        <w:rPr>
          <w:rFonts w:eastAsia="Arial" w:asciiTheme="minorHAnsi" w:hAnsiTheme="minorHAnsi" w:cstheme="minorHAnsi"/>
          <w:color w:val="000000"/>
          <w:spacing w:val="-4"/>
          <w:sz w:val="20"/>
          <w:szCs w:val="20"/>
        </w:rPr>
      </w:pPr>
      <w:r>
        <w:rPr>
          <w:rFonts w:eastAsia="Arial" w:asciiTheme="minorHAnsi" w:hAnsiTheme="minorHAnsi" w:cstheme="minorHAnsi"/>
          <w:color w:val="000000"/>
          <w:spacing w:val="-4"/>
          <w:sz w:val="20"/>
          <w:szCs w:val="20"/>
        </w:rPr>
        <w:t xml:space="preserve">A link to another account or a line of credit may be a less expensive option than an overdraft. A single larger overdraft will result in just one fee, as opposed to multiple smaller overdrafts. Good account management is the best way to avoid overdrafts. Use our mobile banking, online banking, and telephone banking services to keep track of your balance. For additional financial education resources, please visit </w:t>
      </w:r>
      <w:r>
        <w:fldChar w:fldCharType="begin"/>
      </w:r>
      <w:r>
        <w:instrText xml:space="preserve"> HYPERLINK "http://www.mymoney.gov" \h </w:instrText>
      </w:r>
      <w:r>
        <w:fldChar w:fldCharType="separate"/>
      </w:r>
      <w:r>
        <w:rPr>
          <w:rFonts w:eastAsia="Arial" w:asciiTheme="minorHAnsi" w:hAnsiTheme="minorHAnsi" w:cstheme="minorHAnsi"/>
          <w:color w:val="0000FF"/>
          <w:spacing w:val="-4"/>
          <w:sz w:val="20"/>
          <w:szCs w:val="20"/>
          <w:u w:val="single"/>
        </w:rPr>
        <w:t>www.mymoney.gov</w:t>
      </w:r>
      <w:r>
        <w:rPr>
          <w:rFonts w:eastAsia="Arial" w:asciiTheme="minorHAnsi" w:hAnsiTheme="minorHAnsi" w:cstheme="minorHAnsi"/>
          <w:color w:val="0000FF"/>
          <w:spacing w:val="-4"/>
          <w:sz w:val="20"/>
          <w:szCs w:val="20"/>
          <w:u w:val="single"/>
        </w:rPr>
        <w:fldChar w:fldCharType="end"/>
      </w:r>
      <w:r>
        <w:rPr>
          <w:rFonts w:eastAsia="Arial" w:asciiTheme="minorHAnsi" w:hAnsiTheme="minorHAnsi" w:cstheme="minorHAnsi"/>
          <w:color w:val="000000"/>
          <w:spacing w:val="-4"/>
          <w:sz w:val="20"/>
          <w:szCs w:val="20"/>
        </w:rPr>
        <w:t>.</w:t>
      </w:r>
    </w:p>
    <w:p>
      <w:pPr>
        <w:pStyle w:val="10"/>
        <w:numPr>
          <w:ilvl w:val="0"/>
          <w:numId w:val="2"/>
        </w:numPr>
        <w:spacing w:before="243" w:line="263" w:lineRule="exact"/>
        <w:ind w:right="144"/>
        <w:textAlignment w:val="baseline"/>
        <w:rPr>
          <w:rFonts w:eastAsia="Arial" w:asciiTheme="minorHAnsi" w:hAnsiTheme="minorHAnsi" w:cstheme="minorHAnsi"/>
          <w:color w:val="000000"/>
          <w:spacing w:val="-4"/>
          <w:sz w:val="20"/>
          <w:szCs w:val="20"/>
        </w:rPr>
      </w:pPr>
    </w:p>
    <w:p>
      <w:pPr>
        <w:pStyle w:val="10"/>
        <w:numPr>
          <w:ilvl w:val="0"/>
          <w:numId w:val="2"/>
        </w:numPr>
        <w:spacing w:before="1" w:line="263" w:lineRule="exact"/>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The $34 Paid NSF Fee that is charged if you overdraw your account more than $5 is the same fee amount that is charged if a check is returned as unpaid. If your account is overdrawn by $5 or less, the Paid NSF Fee is $0. If multiple items overdraw your account on the same day, each item will be assessed an appropriate Paid NSF Fee or a Returned NSF Fee of $34. All fees and charges will be included as part of the Overdraft Privilege limit amount. Your account may become overdrawn more than the Overdraft Privilege limit amount because of a fee.</w:t>
      </w:r>
    </w:p>
    <w:p>
      <w:pPr>
        <w:pStyle w:val="10"/>
        <w:numPr>
          <w:ilvl w:val="0"/>
          <w:numId w:val="2"/>
        </w:numPr>
        <w:spacing w:before="1" w:line="263" w:lineRule="exact"/>
        <w:textAlignment w:val="baseline"/>
        <w:rPr>
          <w:rFonts w:eastAsia="Arial" w:asciiTheme="minorHAnsi" w:hAnsiTheme="minorHAnsi" w:cstheme="minorHAnsi"/>
          <w:color w:val="000000"/>
          <w:sz w:val="20"/>
          <w:szCs w:val="20"/>
        </w:rPr>
      </w:pPr>
    </w:p>
    <w:p>
      <w:pPr>
        <w:pStyle w:val="10"/>
        <w:numPr>
          <w:ilvl w:val="0"/>
          <w:numId w:val="2"/>
        </w:numPr>
        <w:spacing w:line="263" w:lineRule="exact"/>
        <w:textAlignment w:val="baseline"/>
        <w:rPr>
          <w:rFonts w:eastAsia="Arial" w:asciiTheme="minorHAnsi" w:hAnsiTheme="minorHAnsi" w:cstheme="minorHAnsi"/>
          <w:color w:val="000000"/>
          <w:spacing w:val="-4"/>
          <w:sz w:val="20"/>
          <w:szCs w:val="20"/>
        </w:rPr>
      </w:pPr>
      <w:r>
        <w:rPr>
          <w:rFonts w:eastAsia="Arial" w:asciiTheme="minorHAnsi" w:hAnsiTheme="minorHAnsi" w:cstheme="minorHAnsi"/>
          <w:color w:val="000000"/>
          <w:sz w:val="20"/>
          <w:szCs w:val="20"/>
        </w:rPr>
        <w:t>If an item is returned because the available balance in your account is not sufficient to cover the item and the item is presented for payment again, SENB Bank will charge a Returned NSF Fee each time it returns the item because it exceeds the available balance in your account. If, on re-presentment of the item, the available balance in your account is sufficient to cover the item, SENB Bank may pay the item, and, if payment causes an overdraft, charge a Paid NSF Fee.</w:t>
      </w:r>
    </w:p>
    <w:p>
      <w:pPr>
        <w:pStyle w:val="10"/>
        <w:numPr>
          <w:ilvl w:val="0"/>
          <w:numId w:val="2"/>
        </w:numPr>
        <w:spacing w:line="263" w:lineRule="exact"/>
        <w:textAlignment w:val="baseline"/>
        <w:rPr>
          <w:rFonts w:eastAsia="Arial" w:asciiTheme="minorHAnsi" w:hAnsiTheme="minorHAnsi" w:cstheme="minorHAnsi"/>
          <w:color w:val="000000"/>
          <w:spacing w:val="-4"/>
          <w:sz w:val="20"/>
          <w:szCs w:val="20"/>
        </w:rPr>
      </w:pPr>
    </w:p>
    <w:p>
      <w:pPr>
        <w:pStyle w:val="10"/>
        <w:numPr>
          <w:ilvl w:val="0"/>
          <w:numId w:val="2"/>
        </w:numPr>
        <w:spacing w:line="263" w:lineRule="exact"/>
        <w:textAlignment w:val="baseline"/>
        <w:rPr>
          <w:rFonts w:eastAsia="Arial" w:asciiTheme="minorHAnsi" w:hAnsiTheme="minorHAnsi" w:cstheme="minorHAnsi"/>
          <w:color w:val="000000"/>
          <w:spacing w:val="-4"/>
          <w:sz w:val="20"/>
          <w:szCs w:val="20"/>
        </w:rPr>
      </w:pPr>
      <w:r>
        <w:rPr>
          <w:rFonts w:eastAsia="Arial" w:asciiTheme="minorHAnsi" w:hAnsiTheme="minorHAnsi" w:cstheme="minorHAnsi"/>
          <w:color w:val="000000"/>
          <w:spacing w:val="-4"/>
          <w:sz w:val="20"/>
          <w:szCs w:val="20"/>
        </w:rPr>
        <w:t>If your account balance remains overdrawn for longer than 7 calendar days, we will charge your account an additional Overdraft Fee of $34 for every 7 Calendar Days the account remains overdrawn, beginning with day 7.</w:t>
      </w:r>
    </w:p>
    <w:p>
      <w:pPr>
        <w:pStyle w:val="10"/>
        <w:numPr>
          <w:ilvl w:val="0"/>
          <w:numId w:val="2"/>
        </w:numPr>
        <w:spacing w:line="263" w:lineRule="exact"/>
        <w:textAlignment w:val="baseline"/>
        <w:rPr>
          <w:rFonts w:eastAsia="Arial" w:asciiTheme="minorHAnsi" w:hAnsiTheme="minorHAnsi" w:cstheme="minorHAnsi"/>
          <w:color w:val="000000"/>
          <w:spacing w:val="-4"/>
          <w:sz w:val="20"/>
          <w:szCs w:val="20"/>
        </w:rPr>
      </w:pPr>
    </w:p>
    <w:p>
      <w:pPr>
        <w:pStyle w:val="10"/>
        <w:numPr>
          <w:ilvl w:val="0"/>
          <w:numId w:val="2"/>
        </w:numPr>
        <w:spacing w:before="2" w:line="263" w:lineRule="exact"/>
        <w:ind w:right="144"/>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There is a limit of 6 Paid NSF Fees ($204) per day we will charge. We will not charge a Paid NSF Fee if an account is overdrawn by $5 or less.</w:t>
      </w:r>
    </w:p>
    <w:p>
      <w:pPr>
        <w:pStyle w:val="10"/>
        <w:numPr>
          <w:ilvl w:val="0"/>
          <w:numId w:val="2"/>
        </w:numPr>
        <w:spacing w:before="2" w:line="263" w:lineRule="exact"/>
        <w:ind w:right="144"/>
        <w:textAlignment w:val="baseline"/>
        <w:rPr>
          <w:rFonts w:eastAsia="Arial" w:asciiTheme="minorHAnsi" w:hAnsiTheme="minorHAnsi" w:cstheme="minorHAnsi"/>
          <w:color w:val="000000"/>
          <w:sz w:val="20"/>
          <w:szCs w:val="20"/>
        </w:rPr>
      </w:pPr>
    </w:p>
    <w:p>
      <w:pPr>
        <w:pStyle w:val="10"/>
        <w:numPr>
          <w:ilvl w:val="0"/>
          <w:numId w:val="2"/>
        </w:numPr>
        <w:spacing w:line="262" w:lineRule="exact"/>
        <w:textAlignment w:val="baseline"/>
        <w:rPr>
          <w:rFonts w:eastAsia="Arial" w:asciiTheme="minorHAnsi" w:hAnsiTheme="minorHAnsi" w:cstheme="minorHAnsi"/>
          <w:color w:val="000000"/>
          <w:spacing w:val="-3"/>
          <w:sz w:val="20"/>
          <w:szCs w:val="20"/>
        </w:rPr>
      </w:pPr>
      <w:r>
        <w:rPr>
          <w:rFonts w:eastAsia="Arial" w:asciiTheme="minorHAnsi" w:hAnsiTheme="minorHAnsi" w:cstheme="minorHAnsi"/>
          <w:color w:val="000000"/>
          <w:spacing w:val="-3"/>
          <w:sz w:val="20"/>
          <w:szCs w:val="20"/>
        </w:rPr>
        <w:t>Our general policy is to post items throughout the day and to post credits before debits. Paper checks are presented to us in batches and are posted in check number order. ACH items are presented in batches multiple times per day and are posted in lowest to highest dollar amount. ATM and debit card transactions are processed as we receive the transactions, which may occur immediately or up to several days later. All other transactions are posted in time stamp order. However, because of the many ways we allow you to access your account, the posting order of individual items may differ from these general policies. Holds on funds (described herein) and the order in which transactions are posted may impact the total amount of Overdraft Fees or Returned Item Fees assessed.</w:t>
      </w:r>
    </w:p>
    <w:p>
      <w:pPr>
        <w:pStyle w:val="10"/>
        <w:numPr>
          <w:ilvl w:val="0"/>
          <w:numId w:val="2"/>
        </w:numPr>
        <w:spacing w:line="262" w:lineRule="exact"/>
        <w:ind w:right="216"/>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Although under payment system rules, SENB Bank may be obligated to pay some authorized debit card transactions, SENB Bank will not authorize debit card or ATM transactions unless there are available funds (including Overdraft Coverage Options) to cover the transactions and any fee(s).</w:t>
      </w:r>
    </w:p>
    <w:p>
      <w:pPr>
        <w:pStyle w:val="10"/>
        <w:numPr>
          <w:ilvl w:val="0"/>
          <w:numId w:val="2"/>
        </w:numPr>
        <w:spacing w:line="262" w:lineRule="exact"/>
        <w:ind w:right="216"/>
        <w:textAlignment w:val="baseline"/>
        <w:rPr>
          <w:rFonts w:eastAsia="Arial" w:asciiTheme="minorHAnsi" w:hAnsiTheme="minorHAnsi" w:cstheme="minorHAnsi"/>
          <w:color w:val="000000"/>
          <w:sz w:val="20"/>
          <w:szCs w:val="20"/>
        </w:rPr>
      </w:pPr>
    </w:p>
    <w:p>
      <w:pPr>
        <w:pStyle w:val="10"/>
        <w:numPr>
          <w:ilvl w:val="0"/>
          <w:numId w:val="2"/>
        </w:numPr>
        <w:spacing w:before="2" w:line="263" w:lineRule="exact"/>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Giving us your consent to pay every day debit card and ATM overdrafts on your consumer account (Extended Coverage) may result in you incurring Paid NSF Fees for transactions that we would otherwise be required to pay without assessing a Paid NSF Fee. However, this would allow us to authorize transactions up to the amount of your Overdraft Privilege limit and may also help you avoid overdrafts in excess of your available balance that could result in sus</w:t>
      </w:r>
      <w:bookmarkStart w:id="0" w:name="_GoBack"/>
      <w:bookmarkEnd w:id="0"/>
      <w:r>
        <w:rPr>
          <w:rFonts w:eastAsia="Arial" w:asciiTheme="minorHAnsi" w:hAnsiTheme="minorHAnsi" w:cstheme="minorHAnsi"/>
          <w:color w:val="000000"/>
          <w:sz w:val="20"/>
          <w:szCs w:val="20"/>
        </w:rPr>
        <w:t>pension of your debit card. If you consent to Extended Coverage on your consumer account, it will remain on your account until you otherwise withdraw it.</w:t>
      </w:r>
    </w:p>
    <w:p>
      <w:pPr>
        <w:pStyle w:val="10"/>
        <w:numPr>
          <w:ilvl w:val="0"/>
          <w:numId w:val="2"/>
        </w:numPr>
        <w:spacing w:before="2" w:line="263" w:lineRule="exact"/>
        <w:textAlignment w:val="baseline"/>
        <w:rPr>
          <w:rFonts w:eastAsia="Arial" w:asciiTheme="minorHAnsi" w:hAnsiTheme="minorHAnsi" w:cstheme="minorHAnsi"/>
          <w:color w:val="000000"/>
          <w:sz w:val="20"/>
          <w:szCs w:val="20"/>
        </w:rPr>
      </w:pPr>
    </w:p>
    <w:p>
      <w:pPr>
        <w:pStyle w:val="10"/>
        <w:numPr>
          <w:ilvl w:val="0"/>
          <w:numId w:val="2"/>
        </w:numPr>
        <w:spacing w:before="1" w:line="263" w:lineRule="exact"/>
        <w:ind w:right="72"/>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SENB Bank authorizes and pays transactions using the available balance in your account. SENB Bank may place a hold on deposited funds in accordance with our Deposit Account Agreement and Disclosure, which will reduce the amount in your available balance. The available balance for checks, ACH items, and recurring debit card transactions is comprised of the ledger balance, less any holds on deposited funds and any debit card holds, plus the amount of the Overdraft Privilege limit and any available overdraft protection. The available balance for ATM and everyday debit card transactions on accounts with Standard Coverage is the ledger balance, less any holds on deposited funds and any debit card holds, plus any available overdraft protection, but does NOT include the Overdraft Privilege Limit. For accounts with Extended Coverage, the Overdraft Privilege Limit is included in the available balance for authorizing ATM and everyday debit card transactions.</w:t>
      </w:r>
    </w:p>
    <w:p>
      <w:pPr>
        <w:pStyle w:val="10"/>
        <w:numPr>
          <w:ilvl w:val="0"/>
          <w:numId w:val="2"/>
        </w:numPr>
        <w:spacing w:line="260" w:lineRule="exact"/>
        <w:ind w:right="288"/>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Please be aware that the Overdraft Privilege amount is not included in your available balance provided through online banking, mobile banking or SENB Bank’s ATMs.</w:t>
      </w:r>
    </w:p>
    <w:p>
      <w:pPr>
        <w:pStyle w:val="10"/>
        <w:numPr>
          <w:ilvl w:val="0"/>
          <w:numId w:val="2"/>
        </w:numPr>
        <w:spacing w:line="260" w:lineRule="exact"/>
        <w:ind w:right="288"/>
        <w:textAlignment w:val="baseline"/>
        <w:rPr>
          <w:rFonts w:eastAsia="Arial" w:asciiTheme="minorHAnsi" w:hAnsiTheme="minorHAnsi" w:cstheme="minorHAnsi"/>
          <w:color w:val="000000"/>
          <w:sz w:val="20"/>
          <w:szCs w:val="20"/>
        </w:rPr>
      </w:pPr>
    </w:p>
    <w:p>
      <w:pPr>
        <w:pStyle w:val="10"/>
        <w:numPr>
          <w:ilvl w:val="0"/>
          <w:numId w:val="2"/>
        </w:numPr>
        <w:spacing w:before="4" w:line="274" w:lineRule="exact"/>
        <w:textAlignment w:val="baseline"/>
        <w:rPr>
          <w:rFonts w:eastAsia="Arial" w:asciiTheme="minorHAnsi" w:hAnsiTheme="minorHAnsi" w:cstheme="minorHAnsi"/>
          <w:b/>
          <w:color w:val="000000"/>
          <w:spacing w:val="-1"/>
          <w:sz w:val="20"/>
          <w:szCs w:val="20"/>
        </w:rPr>
      </w:pPr>
      <w:r>
        <w:rPr>
          <w:rFonts w:eastAsia="Arial" w:asciiTheme="minorHAnsi" w:hAnsiTheme="minorHAnsi" w:cstheme="minorHAnsi"/>
          <w:color w:val="000000"/>
          <w:sz w:val="20"/>
          <w:szCs w:val="20"/>
        </w:rPr>
        <w:t>SENB Bank will place a hold on your account for any authorized debit card transaction until the transaction settles (usually within two business days) or as permitted by payment system rules. In some cases, the hold may exceed the amount of the transaction. When the hold ends, the funds will be added to the available balance in your account. If your account is overdrawn after the held funds are added to the available balance and the transaction is posted to the available balance, a Paid NSF Fee may be assessed.</w:t>
      </w:r>
    </w:p>
    <w:p>
      <w:pPr>
        <w:pStyle w:val="10"/>
        <w:numPr>
          <w:ilvl w:val="0"/>
          <w:numId w:val="2"/>
        </w:numPr>
        <w:spacing w:before="4" w:line="274" w:lineRule="exact"/>
        <w:textAlignment w:val="baseline"/>
        <w:rPr>
          <w:rFonts w:eastAsia="Arial" w:asciiTheme="minorHAnsi" w:hAnsiTheme="minorHAnsi" w:cstheme="minorHAnsi"/>
          <w:b/>
          <w:color w:val="000000"/>
          <w:spacing w:val="-1"/>
          <w:sz w:val="20"/>
          <w:szCs w:val="20"/>
        </w:rPr>
      </w:pPr>
    </w:p>
    <w:p>
      <w:pPr>
        <w:pStyle w:val="10"/>
        <w:numPr>
          <w:ilvl w:val="0"/>
          <w:numId w:val="2"/>
        </w:numPr>
        <w:spacing w:before="2" w:line="263" w:lineRule="exact"/>
        <w:ind w:right="504"/>
        <w:textAlignment w:val="baseline"/>
        <w:rPr>
          <w:rFonts w:eastAsia="Arial" w:asciiTheme="minorHAnsi" w:hAnsiTheme="minorHAnsi" w:cstheme="minorHAnsi"/>
          <w:color w:val="000000"/>
          <w:spacing w:val="-4"/>
          <w:sz w:val="20"/>
          <w:szCs w:val="20"/>
        </w:rPr>
      </w:pPr>
      <w:r>
        <w:rPr>
          <w:rFonts w:eastAsia="Arial" w:asciiTheme="minorHAnsi" w:hAnsiTheme="minorHAnsi" w:cstheme="minorHAnsi"/>
          <w:color w:val="000000"/>
          <w:spacing w:val="-4"/>
          <w:sz w:val="20"/>
          <w:szCs w:val="20"/>
        </w:rPr>
        <w:t>Except as described herein, SENB Bank will not pay items if your account does not contain available funds (including the Overdraft Privilege limit) to cover the item(s) and the amount of any fee(s).</w:t>
      </w:r>
    </w:p>
    <w:p>
      <w:pPr>
        <w:pStyle w:val="10"/>
        <w:numPr>
          <w:ilvl w:val="0"/>
          <w:numId w:val="2"/>
        </w:numPr>
        <w:spacing w:before="2" w:line="263" w:lineRule="exact"/>
        <w:ind w:right="504"/>
        <w:textAlignment w:val="baseline"/>
        <w:rPr>
          <w:rFonts w:eastAsia="Arial" w:asciiTheme="minorHAnsi" w:hAnsiTheme="minorHAnsi" w:cstheme="minorHAnsi"/>
          <w:color w:val="000000"/>
          <w:spacing w:val="-4"/>
          <w:sz w:val="20"/>
          <w:szCs w:val="20"/>
        </w:rPr>
      </w:pPr>
    </w:p>
    <w:p>
      <w:pPr>
        <w:pStyle w:val="10"/>
        <w:numPr>
          <w:ilvl w:val="0"/>
          <w:numId w:val="2"/>
        </w:numPr>
        <w:spacing w:line="263" w:lineRule="exact"/>
        <w:ind w:right="72"/>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SENB Bank may suspend your debit card if you incur overdrafts in excess of the available balance in your account, including any Overdraft Privilege limit (as described herein). Debit cards on your account will remain suspended until you make sufficient deposits so that your available balance, taking into account any Overdraft Privilege limit, is positive.</w:t>
      </w:r>
    </w:p>
    <w:p>
      <w:pPr>
        <w:pStyle w:val="10"/>
        <w:numPr>
          <w:ilvl w:val="0"/>
          <w:numId w:val="2"/>
        </w:numPr>
        <w:spacing w:line="262" w:lineRule="exact"/>
        <w:ind w:right="216"/>
        <w:textAlignment w:val="baseline"/>
        <w:rPr>
          <w:rFonts w:eastAsia="Arial" w:asciiTheme="minorHAnsi" w:hAnsiTheme="minorHAnsi" w:cstheme="minorHAnsi"/>
          <w:color w:val="000000"/>
          <w:spacing w:val="-3"/>
          <w:sz w:val="20"/>
          <w:szCs w:val="20"/>
        </w:rPr>
      </w:pPr>
      <w:r>
        <w:rPr>
          <w:rFonts w:eastAsia="Arial" w:asciiTheme="minorHAnsi" w:hAnsiTheme="minorHAnsi" w:cstheme="minorHAnsi"/>
          <w:color w:val="000000"/>
          <w:spacing w:val="-3"/>
          <w:sz w:val="20"/>
          <w:szCs w:val="20"/>
        </w:rPr>
        <w:t>SENB Bank may also suspend your debit card if your account is overdrawn more than 32 consecutive calendar days. Debit cards on your account will remain suspended until you make sufficient deposits so that your account balance is positive.</w:t>
      </w:r>
    </w:p>
    <w:p>
      <w:pPr>
        <w:pStyle w:val="10"/>
        <w:numPr>
          <w:ilvl w:val="0"/>
          <w:numId w:val="2"/>
        </w:numPr>
        <w:spacing w:line="262" w:lineRule="exact"/>
        <w:ind w:right="72"/>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SENB Bank may also suspend your debit card if we are unable to contact you due to an incorrect mailing address or Phone Number(s). You must contact us with your correct mailing address and/or Phone Number(s) to have your debit card reinstated.</w:t>
      </w:r>
    </w:p>
    <w:p>
      <w:pPr>
        <w:pStyle w:val="10"/>
        <w:numPr>
          <w:ilvl w:val="0"/>
          <w:numId w:val="2"/>
        </w:numPr>
        <w:spacing w:before="3" w:line="263" w:lineRule="exact"/>
        <w:ind w:right="72"/>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If your debit card is suspended, you will be unable to use your debit card for purchases or to access your account at the ATM, and if you use your debit card for recurring payments, e.g., utilities, you are responsible to make other arrangements for your recurring debit payment(s).</w:t>
      </w:r>
    </w:p>
    <w:p>
      <w:pPr>
        <w:pStyle w:val="10"/>
        <w:numPr>
          <w:ilvl w:val="0"/>
          <w:numId w:val="2"/>
        </w:numPr>
        <w:spacing w:before="3" w:line="263" w:lineRule="exact"/>
        <w:ind w:right="72"/>
        <w:textAlignment w:val="baseline"/>
        <w:rPr>
          <w:rFonts w:eastAsia="Arial" w:asciiTheme="minorHAnsi" w:hAnsiTheme="minorHAnsi" w:cstheme="minorHAnsi"/>
          <w:color w:val="000000"/>
          <w:sz w:val="20"/>
          <w:szCs w:val="20"/>
        </w:rPr>
      </w:pPr>
    </w:p>
    <w:p>
      <w:pPr>
        <w:pStyle w:val="10"/>
        <w:numPr>
          <w:ilvl w:val="0"/>
          <w:numId w:val="2"/>
        </w:numPr>
        <w:spacing w:line="262" w:lineRule="exact"/>
        <w:ind w:right="72"/>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New consumer and business checking accounts will receive a $100 Introductory Overdraft Privilege limit at account opening that will be increased to $800 after 35 days in good standing for consumer accounts or to $1,500 after 60 in good standing for business accounts.</w:t>
      </w:r>
    </w:p>
    <w:p>
      <w:pPr>
        <w:pStyle w:val="10"/>
        <w:numPr>
          <w:ilvl w:val="0"/>
          <w:numId w:val="2"/>
        </w:numPr>
        <w:spacing w:line="262" w:lineRule="exact"/>
        <w:ind w:right="72"/>
        <w:textAlignment w:val="baseline"/>
        <w:rPr>
          <w:rFonts w:eastAsia="Arial" w:asciiTheme="minorHAnsi" w:hAnsiTheme="minorHAnsi" w:cstheme="minorHAnsi"/>
          <w:color w:val="000000"/>
          <w:sz w:val="20"/>
          <w:szCs w:val="20"/>
        </w:rPr>
      </w:pPr>
    </w:p>
    <w:p>
      <w:pPr>
        <w:pStyle w:val="10"/>
        <w:numPr>
          <w:ilvl w:val="0"/>
          <w:numId w:val="2"/>
        </w:numPr>
        <w:spacing w:before="2" w:line="263" w:lineRule="exact"/>
        <w:ind w:right="504"/>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An Overdraft Privilege limit of $800 will be granted to eligible consumer checking accounts opened at least 35 days in good standing.</w:t>
      </w:r>
    </w:p>
    <w:p>
      <w:pPr>
        <w:pStyle w:val="10"/>
        <w:numPr>
          <w:ilvl w:val="0"/>
          <w:numId w:val="2"/>
        </w:numPr>
        <w:spacing w:line="261" w:lineRule="exact"/>
        <w:ind w:right="288"/>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An Overdraft Privilege limit of $1,500 will be granted to eligible Business Checking accounts opened at least 60 days in good standing.</w:t>
      </w:r>
    </w:p>
    <w:p>
      <w:pPr>
        <w:pStyle w:val="10"/>
        <w:numPr>
          <w:ilvl w:val="0"/>
          <w:numId w:val="2"/>
        </w:numPr>
        <w:spacing w:line="261" w:lineRule="exact"/>
        <w:ind w:right="288"/>
        <w:textAlignment w:val="baseline"/>
        <w:rPr>
          <w:rFonts w:eastAsia="Arial" w:asciiTheme="minorHAnsi" w:hAnsiTheme="minorHAnsi" w:cstheme="minorHAnsi"/>
          <w:color w:val="000000"/>
          <w:sz w:val="20"/>
          <w:szCs w:val="20"/>
        </w:rPr>
      </w:pPr>
    </w:p>
    <w:p>
      <w:pPr>
        <w:pStyle w:val="10"/>
        <w:numPr>
          <w:ilvl w:val="0"/>
          <w:numId w:val="2"/>
        </w:numPr>
        <w:spacing w:before="1" w:line="263" w:lineRule="exact"/>
        <w:ind w:right="72"/>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Overdraft Privilege may be reduced if you default on any loan or other obligation to us, your account becomes subject to any legal or administrative order or levy, or if you fail to maintain your account in good standing by not bringing your account to a positive balance within 32 days for a minimum of one business day. You must bring your account balance positive for at least one business day to have the full Overdraft Privilege limit reinstated.</w:t>
      </w:r>
    </w:p>
    <w:p>
      <w:pPr>
        <w:pStyle w:val="10"/>
        <w:numPr>
          <w:ilvl w:val="0"/>
          <w:numId w:val="2"/>
        </w:numPr>
        <w:spacing w:before="1" w:line="263" w:lineRule="exact"/>
        <w:ind w:right="72"/>
        <w:textAlignment w:val="baseline"/>
        <w:rPr>
          <w:rFonts w:eastAsia="Arial" w:asciiTheme="minorHAnsi" w:hAnsiTheme="minorHAnsi" w:cstheme="minorHAnsi"/>
          <w:color w:val="000000"/>
          <w:sz w:val="20"/>
          <w:szCs w:val="20"/>
        </w:rPr>
      </w:pPr>
    </w:p>
    <w:p>
      <w:pPr>
        <w:pStyle w:val="10"/>
        <w:numPr>
          <w:ilvl w:val="0"/>
          <w:numId w:val="2"/>
        </w:numPr>
        <w:spacing w:line="262" w:lineRule="exact"/>
        <w:ind w:right="216"/>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Depositor and each Authorized Signatory will continue to be liable, jointly and severally, for all overdraft and fee amounts, as described in the Deposit Account Agreement and Disclosure. The total (negative) balance, including all fees and charges, is due and payable upon demand.</w:t>
      </w:r>
    </w:p>
    <w:p>
      <w:pPr>
        <w:spacing w:before="4" w:line="274" w:lineRule="exact"/>
        <w:textAlignment w:val="baseline"/>
        <w:rPr>
          <w:rFonts w:eastAsia="Arial" w:asciiTheme="minorHAnsi" w:hAnsiTheme="minorHAnsi" w:cstheme="minorHAnsi"/>
          <w:b/>
          <w:color w:val="000000"/>
          <w:spacing w:val="-1"/>
          <w:sz w:val="20"/>
          <w:szCs w:val="20"/>
        </w:rPr>
      </w:pPr>
    </w:p>
    <w:p>
      <w:pPr>
        <w:spacing w:before="213" w:line="258" w:lineRule="exact"/>
        <w:ind w:right="72"/>
        <w:jc w:val="both"/>
        <w:textAlignment w:val="baseline"/>
        <w:rPr>
          <w:rFonts w:eastAsia="Arial" w:asciiTheme="minorHAnsi" w:hAnsiTheme="minorHAnsi" w:cstheme="minorHAnsi"/>
          <w:color w:val="000000"/>
          <w:sz w:val="20"/>
          <w:szCs w:val="20"/>
        </w:rPr>
      </w:pPr>
      <w:r>
        <w:rPr>
          <w:rFonts w:eastAsia="Arial" w:asciiTheme="minorHAnsi" w:hAnsiTheme="minorHAnsi" w:cstheme="minorHAnsi"/>
          <w:color w:val="000000"/>
          <w:sz w:val="20"/>
          <w:szCs w:val="20"/>
        </w:rPr>
        <w:t>If you have any questions about Overdraft Protection or Overdraft Privilege, please call us at 309-757-0700 or visit a banking center.</w:t>
      </w:r>
    </w:p>
    <w:sectPr>
      <w:head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Monospace"/>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Noto Sans CJK JP"/>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DejaVu Sans"/>
    <w:panose1 w:val="020F0502020204030204"/>
    <w:charset w:val="86"/>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Monospace">
    <w:altName w:val="Times New Roman"/>
    <w:panose1 w:val="020B0609030804020204"/>
    <w:charset w:val="00"/>
    <w:family w:val="auto"/>
    <w:pitch w:val="default"/>
    <w:sig w:usb0="00000000" w:usb1="00000000" w:usb2="00000000" w:usb3="00000000" w:csb0="001D016D" w:csb1="00000000"/>
  </w:font>
  <w:font w:name="Abyssinica SIL">
    <w:panose1 w:val="02000603020000020004"/>
    <w:charset w:val="00"/>
    <w:family w:val="auto"/>
    <w:pitch w:val="default"/>
    <w:sig w:usb0="800000EF" w:usb1="5000A04B" w:usb2="00000828" w:usb3="00000000" w:csb0="20000001" w:csb1="00000000"/>
  </w:font>
  <w:font w:name="Noto Sans CJK JP">
    <w:panose1 w:val="020B0600000000000000"/>
    <w:charset w:val="86"/>
    <w:family w:val="auto"/>
    <w:pitch w:val="default"/>
    <w:sig w:usb0="30000003" w:usb1="2BDF3C10" w:usb2="00000016" w:usb3="00000000" w:csb0="602E0107" w:csb1="00000000"/>
  </w:font>
  <w:font w:name="SimSun">
    <w:altName w:val="Monospace"/>
    <w:panose1 w:val="00000000000000000000"/>
    <w:charset w:val="86"/>
    <w:family w:val="auto"/>
    <w:pitch w:val="default"/>
    <w:sig w:usb0="00000000" w:usb1="00000000" w:usb2="00000000" w:usb3="00000000" w:csb0="00000000" w:csb1="00000000"/>
  </w:font>
  <w:font w:name="Calibri">
    <w:altName w:val="DejaVu Sans"/>
    <w:panose1 w:val="00000000000000000000"/>
    <w:charset w:val="00"/>
    <w:family w:val="auto"/>
    <w:pitch w:val="default"/>
    <w:sig w:usb0="00000000" w:usb1="00000000" w:usb2="00000000" w:usb3="00000000" w:csb0="00000000" w:csb1="00000000"/>
  </w:font>
  <w:font w:name="Symbol">
    <w:altName w:val="OpenSymbol"/>
    <w:panose1 w:val="05050102010706020507"/>
    <w:charset w:val="02"/>
    <w:family w:val="roman"/>
    <w:pitch w:val="default"/>
    <w:sig w:usb0="00000000" w:usb1="00000000" w:usb2="00000000" w:usb3="00000000" w:csb0="80000000" w:csb1="00000000"/>
  </w:font>
  <w:font w:name="Wingdings">
    <w:altName w:val="OpenSymbol"/>
    <w:panose1 w:val="05000000000000000000"/>
    <w:charset w:val="02"/>
    <w:family w:val="auto"/>
    <w:pitch w:val="default"/>
    <w:sig w:usb0="00000000" w:usb1="00000000" w:usb2="00000000" w:usb3="00000000" w:csb0="80000000" w:csb1="00000000"/>
  </w:font>
  <w:font w:name="DejaVu Sans">
    <w:panose1 w:val="020B0603030804020204"/>
    <w:charset w:val="86"/>
    <w:family w:val="swiss"/>
    <w:pitch w:val="default"/>
    <w:sig w:usb0="E7006EFF" w:usb1="D200FDFF" w:usb2="0A246029" w:usb3="0400200C" w:csb0="600001FF" w:csb1="DFFF0000"/>
  </w:font>
  <w:font w:name="DejaVa Sans">
    <w:altName w:val="Abyssinica SIL"/>
    <w:panose1 w:val="00000000000000000000"/>
    <w:charset w:val="00"/>
    <w:family w:val="auto"/>
    <w:pitch w:val="default"/>
    <w:sig w:usb0="00000000" w:usb1="00000000" w:usb2="00000000" w:usb3="00000000" w:csb0="00000000" w:csb1="00000000"/>
  </w:font>
  <w:font w:name="OpenSymbol">
    <w:panose1 w:val="05010000000000000000"/>
    <w:charset w:val="00"/>
    <w:family w:val="auto"/>
    <w:pitch w:val="default"/>
    <w:sig w:usb0="800000AF" w:usb1="1001ECEA"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drawing>
        <wp:anchor distT="0" distB="0" distL="114300" distR="114300" simplePos="0" relativeHeight="251658240" behindDoc="1" locked="0" layoutInCell="1" allowOverlap="1">
          <wp:simplePos x="0" y="0"/>
          <wp:positionH relativeFrom="column">
            <wp:posOffset>1695450</wp:posOffset>
          </wp:positionH>
          <wp:positionV relativeFrom="paragraph">
            <wp:posOffset>-189230</wp:posOffset>
          </wp:positionV>
          <wp:extent cx="2432050" cy="632460"/>
          <wp:effectExtent l="0" t="0" r="6350" b="15240"/>
          <wp:wrapThrough wrapText="bothSides">
            <wp:wrapPolygon>
              <wp:start x="0" y="0"/>
              <wp:lineTo x="0" y="20819"/>
              <wp:lineTo x="21487" y="20819"/>
              <wp:lineTo x="214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32050" cy="6324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71488"/>
    <w:multiLevelType w:val="multilevel"/>
    <w:tmpl w:val="1F07148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2B37D23"/>
    <w:multiLevelType w:val="multilevel"/>
    <w:tmpl w:val="42B37D23"/>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13"/>
    <w:rsid w:val="00126873"/>
    <w:rsid w:val="002667BD"/>
    <w:rsid w:val="004314C3"/>
    <w:rsid w:val="00665FE1"/>
    <w:rsid w:val="006978A8"/>
    <w:rsid w:val="00BB6CE7"/>
    <w:rsid w:val="00C35EEC"/>
    <w:rsid w:val="00DC1313"/>
    <w:rsid w:val="00F773DB"/>
    <w:rsid w:val="00FA02B0"/>
    <w:rsid w:val="00FF3DBA"/>
    <w:rsid w:val="B7AF4863"/>
    <w:rsid w:val="EBFB5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libri" w:hAnsi="Calibri" w:eastAsiaTheme="minorHAnsi" w:cstheme="minorBidi"/>
      <w:sz w:val="24"/>
      <w:szCs w:val="22"/>
      <w:lang w:val="en-US" w:eastAsia="en-US" w:bidi="ar-SA"/>
    </w:rPr>
  </w:style>
  <w:style w:type="paragraph" w:styleId="2">
    <w:name w:val="heading 2"/>
    <w:basedOn w:val="1"/>
    <w:next w:val="1"/>
    <w:link w:val="9"/>
    <w:qFormat/>
    <w:uiPriority w:val="0"/>
    <w:pPr>
      <w:keepNext/>
      <w:spacing w:line="216" w:lineRule="auto"/>
      <w:contextualSpacing/>
      <w:outlineLvl w:val="1"/>
    </w:pPr>
    <w:rPr>
      <w:rFonts w:eastAsia="Times New Roman" w:asciiTheme="minorHAnsi" w:hAnsiTheme="minorHAnsi" w:cstheme="minorHAnsi"/>
      <w:b/>
      <w:bCs/>
      <w:iCs/>
      <w:szCs w:val="28"/>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4"/>
    <w:unhideWhenUsed/>
    <w:uiPriority w:val="99"/>
    <w:pPr>
      <w:tabs>
        <w:tab w:val="center" w:pos="4680"/>
        <w:tab w:val="right" w:pos="9360"/>
      </w:tabs>
    </w:pPr>
  </w:style>
  <w:style w:type="paragraph" w:styleId="4">
    <w:name w:val="header"/>
    <w:basedOn w:val="1"/>
    <w:link w:val="13"/>
    <w:unhideWhenUsed/>
    <w:uiPriority w:val="99"/>
    <w:pPr>
      <w:tabs>
        <w:tab w:val="center" w:pos="4680"/>
        <w:tab w:val="right" w:pos="9360"/>
      </w:tabs>
    </w:pPr>
  </w:style>
  <w:style w:type="character" w:styleId="6">
    <w:name w:val="Hyperlink"/>
    <w:uiPriority w:val="99"/>
    <w:rPr>
      <w:color w:val="0000FF"/>
      <w:u w:val="single"/>
    </w:rPr>
  </w:style>
  <w:style w:type="character" w:styleId="7">
    <w:name w:val="Strong"/>
    <w:qFormat/>
    <w:uiPriority w:val="99"/>
    <w:rPr>
      <w:rFonts w:cs="Times New Roman"/>
      <w:b/>
      <w:bCs/>
    </w:rPr>
  </w:style>
  <w:style w:type="character" w:customStyle="1" w:styleId="9">
    <w:name w:val="Heading 2 Char"/>
    <w:basedOn w:val="5"/>
    <w:link w:val="2"/>
    <w:uiPriority w:val="0"/>
    <w:rPr>
      <w:rFonts w:eastAsia="Times New Roman" w:cstheme="minorHAnsi"/>
      <w:b/>
      <w:bCs/>
      <w:iCs/>
      <w:sz w:val="24"/>
      <w:szCs w:val="28"/>
    </w:rPr>
  </w:style>
  <w:style w:type="paragraph" w:styleId="10">
    <w:name w:val="List Paragraph"/>
    <w:basedOn w:val="1"/>
    <w:qFormat/>
    <w:uiPriority w:val="34"/>
    <w:pPr>
      <w:ind w:left="720"/>
      <w:contextualSpacing/>
    </w:pPr>
    <w:rPr>
      <w:rFonts w:eastAsia="Calibri" w:cs="Times New Roman"/>
    </w:rPr>
  </w:style>
  <w:style w:type="character" w:customStyle="1" w:styleId="11">
    <w:name w:val="heading"/>
    <w:uiPriority w:val="99"/>
    <w:rPr>
      <w:rFonts w:cs="Times New Roman"/>
    </w:rPr>
  </w:style>
  <w:style w:type="character" w:customStyle="1" w:styleId="12">
    <w:name w:val="Unresolved Mention"/>
    <w:basedOn w:val="5"/>
    <w:semiHidden/>
    <w:unhideWhenUsed/>
    <w:uiPriority w:val="99"/>
    <w:rPr>
      <w:color w:val="808080"/>
      <w:shd w:val="clear" w:color="auto" w:fill="E6E6E6"/>
    </w:rPr>
  </w:style>
  <w:style w:type="character" w:customStyle="1" w:styleId="13">
    <w:name w:val="Header Char"/>
    <w:basedOn w:val="5"/>
    <w:link w:val="4"/>
    <w:uiPriority w:val="99"/>
    <w:rPr>
      <w:rFonts w:ascii="Calibri" w:hAnsi="Calibri"/>
      <w:sz w:val="24"/>
    </w:rPr>
  </w:style>
  <w:style w:type="character" w:customStyle="1" w:styleId="14">
    <w:name w:val="Footer Char"/>
    <w:basedOn w:val="5"/>
    <w:link w:val="3"/>
    <w:uiPriority w:val="99"/>
    <w:rPr>
      <w:rFonts w:ascii="Calibri" w:hAnsi="Calibri"/>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4C4C4C"/>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1598</Words>
  <Characters>9113</Characters>
  <Lines>75</Lines>
  <Paragraphs>21</Paragraphs>
  <TotalTime>2</TotalTime>
  <ScaleCrop>false</ScaleCrop>
  <LinksUpToDate>false</LinksUpToDate>
  <CharactersWithSpaces>10690</CharactersWithSpaces>
  <Application>WPS Office_10.1.0.6758_F1E327BC-269C-435d-A152-05C5408002CA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2021-06-29T00:14:00Z</dcterms:created>
  <dc:creator>DSumrall</dc:creator>
  <cp:lastModifiedBy>gwl</cp:lastModifiedBy>
  <cp:lastPrinted>2017-12-13T03:11:00Z</cp:lastPrinted>
  <dcterms:modified xsi:type="dcterms:W3CDTF">2021-07-02T12:33:14Z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1033-10.1.0.6758</vt:lpwstr>
  </property>
</Properties>
</file>